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F7" w:rsidRPr="008253F7" w:rsidRDefault="008253F7" w:rsidP="008253F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8253F7">
        <w:rPr>
          <w:rFonts w:ascii="Verdana" w:eastAsia="Times New Roman" w:hAnsi="Verdana" w:cs="Times New Roman"/>
          <w:b/>
          <w:sz w:val="18"/>
          <w:szCs w:val="18"/>
          <w:lang w:eastAsia="es-ES"/>
        </w:rPr>
        <w:t>PARTE II</w:t>
      </w:r>
    </w:p>
    <w:p w:rsidR="008253F7" w:rsidRPr="008253F7" w:rsidRDefault="008253F7" w:rsidP="008253F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8253F7">
        <w:rPr>
          <w:rFonts w:ascii="Verdana" w:eastAsia="Times New Roman" w:hAnsi="Verdana" w:cs="Times New Roman"/>
          <w:b/>
          <w:sz w:val="18"/>
          <w:szCs w:val="18"/>
          <w:lang w:eastAsia="es-ES"/>
        </w:rPr>
        <w:t>INFORMACIÓN TÉCNICA DE LA CONTRATACIÓN</w:t>
      </w:r>
    </w:p>
    <w:p w:rsidR="008253F7" w:rsidRPr="008253F7" w:rsidRDefault="008253F7" w:rsidP="008253F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"/>
          <w:szCs w:val="10"/>
          <w:lang w:eastAsia="es-ES"/>
        </w:rPr>
      </w:pPr>
    </w:p>
    <w:p w:rsidR="008253F7" w:rsidRPr="008253F7" w:rsidRDefault="008253F7" w:rsidP="00AC6A3D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r w:rsidRPr="008253F7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8253F7" w:rsidRPr="008253F7" w:rsidRDefault="008253F7" w:rsidP="008253F7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2"/>
          <w:szCs w:val="10"/>
          <w:lang w:eastAsia="es-ES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8253F7" w:rsidRPr="008253F7" w:rsidTr="008253F7">
        <w:trPr>
          <w:trHeight w:val="114"/>
        </w:trPr>
        <w:tc>
          <w:tcPr>
            <w:tcW w:w="9743" w:type="dxa"/>
            <w:gridSpan w:val="83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8253F7" w:rsidRPr="008253F7" w:rsidRDefault="008253F7" w:rsidP="00AC6A3D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53F7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8253F7" w:rsidRPr="008253F7" w:rsidTr="008253F7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68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ANPE – P Nº178/2025-1C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53F7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3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8253F7">
              <w:rPr>
                <w:rFonts w:ascii="Arial" w:hAnsi="Arial" w:cs="Arial"/>
                <w:b/>
                <w:color w:val="000000"/>
                <w:sz w:val="16"/>
                <w:szCs w:val="16"/>
              </w:rPr>
              <w:t>SERVICIO RECURRENTE DE TRANSPORTE Y CUSTODIA DE MATERIAL MONETARIO PRODUCTO DE LA VENTA DE BONOS EN DÓLARES EMITIDOS POR EL BANCO CENTRAL DE BOLIVIA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  <w:r w:rsidRPr="008253F7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2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2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</w:tr>
      <w:tr w:rsidR="008253F7" w:rsidRPr="008253F7" w:rsidTr="008253F7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</w:tr>
      <w:tr w:rsidR="008253F7" w:rsidRPr="008253F7" w:rsidTr="008253F7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3F7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</w:tr>
      <w:tr w:rsidR="008253F7" w:rsidRPr="008253F7" w:rsidTr="008253F7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385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tbl>
            <w:tblPr>
              <w:tblpPr w:leftFromText="141" w:rightFromText="141" w:vertAnchor="page" w:horzAnchor="page" w:tblpX="643" w:tblpY="1"/>
              <w:tblW w:w="62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409"/>
              <w:gridCol w:w="851"/>
              <w:gridCol w:w="709"/>
              <w:gridCol w:w="850"/>
              <w:gridCol w:w="992"/>
            </w:tblGrid>
            <w:tr w:rsidR="008253F7" w:rsidRPr="008253F7" w:rsidTr="004A4DEF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  <w:t>No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  <w:t>Descripción del bien o servicio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  <w:t>Unidad de Medida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  <w:t>Cantidad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  <w:t>Precio referencial unitario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16"/>
                      <w:lang w:val="es-ES" w:eastAsia="es-BO"/>
                    </w:rPr>
                    <w:t>Precio referencial total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interdepartamental (ida o vuelta): La Paz - Chuquisaca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4.933,50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39.468,00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interdepartamental (ida o vuelta): La Paz - Cochabamba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4.933,50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88.803,00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interdepartamental (ida o vuelta): La Paz - Oruro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5.451,00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38.157,00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interdepartamental (ida o vuelta): La Paz - Potosí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8.050,00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56.350,00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interdepartamental (ida o vuelta): La Paz - Santa Cruz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6.072,00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91.080,00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interdepartamental (ida o vuelta): La Paz - Tarija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5.570,43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38.993,01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 xml:space="preserve">Tramo en la misma ciudad (ida o vuelta): Chuquisaca - Chuquisaca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9.073,92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en la misma ciudad (ida o vuelta): Cochabamba - Cochabamba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18.147,84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en la misma ciudad (ida o vuelta): Oruro - Oruro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11.342,40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en la misma ciudad (ida o vuelta): Potosí - Potosí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9.073,92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en la misma ciudad (ida o vuelta): Santa Cruz - Santa Cruz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22.684,80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en la misma ciudad (ida o vuelta): Tarija - Tarija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11.342,40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en la misma ciudad (ida o vuelta): La Paz - La Paz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2.268,48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40.832,64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Cochabamba-Sacaba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    906,00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1.812,00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lastRenderedPageBreak/>
                    <w:t>15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Cochabamba-Cliza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1.630,00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3.260,00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Cochabamba-Quillacollo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    761,00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1.522,00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Cochabamba-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Tiquipaya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    516,00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1.032,00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Cochabamba-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Colcapirhua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    488,00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    976,00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Cochabamba-Punata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1.496,00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4.488,00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Rural (ida o vuelta): Cochabamba-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1.047,00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2.094,00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La Paz-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Caranavi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12.050,00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24.100,00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Oruro-Challapata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3.245,00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6.490,00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Oruro-Huanuni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18.145,00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36.290,00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Potosi-Cotagaita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14.424,00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28.848,00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Potosi-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Llallagua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15.181,07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15.181,07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Potosi-Tupiza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20.960,00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41.920,00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Potosi-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Uncia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27.995,00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55.990,00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Potosi-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Villazon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25.833,00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51.666,00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Santa Cruz-Montero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2.325,00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4.650,00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Santa Cruz-Valle Grande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24.500,00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49.000,00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Tarija-Bermejo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8.602,00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17.204,00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Tarija-</w:t>
                  </w:r>
                  <w:proofErr w:type="spellStart"/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Villamontes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10.340,00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20.680,00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Transporte de dinero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Tramo Ciudad - Rural (ida o vuelta): Tarija-Yacuiba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24.932,00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49.864,00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Custodia de Valores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Custodia en bóveda de la ETM: Sucre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2.505,60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7.516,80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Custodia de Valores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Custodia en bóveda de la ETM: Cochabamba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2.505,60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7.516,80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lastRenderedPageBreak/>
                    <w:t>36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Custodia de Valores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Custodia en bóveda de la ETM: Oruro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2.505,60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5.011,20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Custodia de Valores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Custodia en bóveda de la ETM: Potosi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2.505,60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5.011,20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Custodia de Valores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Custodia en bóveda de la ETM: Santa Cruz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2.505,60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7.516,80 </w:t>
                  </w:r>
                </w:p>
              </w:tc>
            </w:tr>
            <w:tr w:rsidR="008253F7" w:rsidRPr="008253F7" w:rsidTr="008253F7">
              <w:trPr>
                <w:trHeight w:val="58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39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6"/>
                      <w:lang w:val="es-ES" w:eastAsia="es-BO"/>
                    </w:rPr>
                    <w:t>Servicio de Custodia de Valores</w:t>
                  </w: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br/>
                    <w:t>Custodia en bóveda de la ETM: Tarija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Servicio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2.505,60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color w:val="000000"/>
                      <w:sz w:val="14"/>
                      <w:szCs w:val="16"/>
                      <w:lang w:val="es-ES" w:eastAsia="es-BO"/>
                    </w:rPr>
                    <w:t xml:space="preserve">                            5.011,20 </w:t>
                  </w:r>
                </w:p>
              </w:tc>
            </w:tr>
            <w:tr w:rsidR="008253F7" w:rsidRPr="008253F7" w:rsidTr="008253F7">
              <w:trPr>
                <w:trHeight w:val="6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/>
                  <w:noWrap/>
                  <w:vAlign w:val="bottom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  <w:sz w:val="14"/>
                      <w:szCs w:val="16"/>
                      <w:lang w:val="es-ES" w:eastAsia="es-BO"/>
                    </w:rPr>
                  </w:pPr>
                </w:p>
              </w:tc>
              <w:tc>
                <w:tcPr>
                  <w:tcW w:w="481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24"/>
                      <w:lang w:val="es-ES" w:eastAsia="es-BO"/>
                    </w:rPr>
                  </w:pPr>
                </w:p>
                <w:p w:rsidR="008253F7" w:rsidRPr="008253F7" w:rsidRDefault="008253F7" w:rsidP="008253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24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24"/>
                      <w:lang w:val="es-ES" w:eastAsia="es-BO"/>
                    </w:rPr>
                    <w:t>TOTAL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  <w:hideMark/>
                </w:tcPr>
                <w:p w:rsidR="008253F7" w:rsidRPr="008253F7" w:rsidRDefault="008253F7" w:rsidP="008253F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24"/>
                      <w:lang w:val="es-ES" w:eastAsia="es-BO"/>
                    </w:rPr>
                  </w:pPr>
                </w:p>
                <w:p w:rsidR="008253F7" w:rsidRPr="008253F7" w:rsidRDefault="008253F7" w:rsidP="008253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24"/>
                      <w:lang w:val="es-ES" w:eastAsia="es-BO"/>
                    </w:rPr>
                  </w:pPr>
                  <w:r w:rsidRPr="008253F7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"/>
                      <w:szCs w:val="24"/>
                      <w:lang w:val="es-ES" w:eastAsia="es-BO"/>
                    </w:rPr>
                    <w:t>930.000,00</w:t>
                  </w:r>
                </w:p>
              </w:tc>
            </w:tr>
          </w:tbl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12"/>
              </w:rPr>
            </w:pPr>
          </w:p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  <w:r w:rsidRPr="008253F7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2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8253F7" w:rsidRPr="008253F7" w:rsidRDefault="008253F7" w:rsidP="008253F7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8253F7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8253F7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8253F7" w:rsidRPr="008253F7" w:rsidTr="008253F7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253F7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El plazo de la prestación del servicio será desde el 1° de enero hasta el 31 de diciembre de 2026 o hasta agotar el monto máximo adjudicado, lo que ocurra primero.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3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53F7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En instalaciones del BCB ubicado en la calle Ayacucho esquina Mercado de la ciudad de La Paz, en las Entidades de Intermediación Financiera (EIF), Entidad Bancaria Pública (EBP) y Empresa de Transporte de Material Monetario y/o valores (ETM).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  <w:r w:rsidRPr="008253F7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En cumplimiento al inciso b) del parágrafo I del Artículo 21 del Decreto Supremo N° 0181, el BCB realizará la retención del siete por ciento (7%) de cada pago, en sustitución de la Garantía de Cumplimiento de Contrato.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53F7" w:rsidRPr="008253F7" w:rsidTr="008253F7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253F7" w:rsidRPr="008253F7" w:rsidRDefault="008253F7" w:rsidP="008253F7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2"/>
          <w:szCs w:val="2"/>
          <w:lang w:eastAsia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8253F7" w:rsidRPr="008253F7" w:rsidTr="008253F7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44" w:type="dxa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82"/>
        </w:trPr>
        <w:tc>
          <w:tcPr>
            <w:tcW w:w="200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253F7" w:rsidRPr="008253F7" w:rsidTr="008253F7">
        <w:trPr>
          <w:trHeight w:val="327"/>
        </w:trPr>
        <w:tc>
          <w:tcPr>
            <w:tcW w:w="2004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8253F7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8253F7" w:rsidRPr="008253F7" w:rsidTr="008253F7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515" w:type="dxa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8253F7" w:rsidRPr="008253F7" w:rsidRDefault="008253F7" w:rsidP="00825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90"/>
        </w:trPr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2"/>
                <w:szCs w:val="16"/>
              </w:rPr>
            </w:pPr>
            <w:r w:rsidRPr="008253F7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3F7" w:rsidRPr="008253F7" w:rsidTr="008253F7">
        <w:tc>
          <w:tcPr>
            <w:tcW w:w="9729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8253F7" w:rsidRPr="008253F7" w:rsidRDefault="008253F7" w:rsidP="008253F7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 w:eastAsia="es-ES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8253F7" w:rsidRPr="008253F7" w:rsidTr="008253F7">
        <w:trPr>
          <w:trHeight w:val="289"/>
        </w:trPr>
        <w:tc>
          <w:tcPr>
            <w:tcW w:w="254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8253F7" w:rsidRPr="008253F7" w:rsidRDefault="008253F7" w:rsidP="008253F7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8253F7" w:rsidRPr="008253F7" w:rsidRDefault="008253F7" w:rsidP="00AC6A3D">
            <w:pPr>
              <w:numPr>
                <w:ilvl w:val="0"/>
                <w:numId w:val="8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</w:rPr>
            </w:pPr>
            <w:r w:rsidRPr="008253F7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8253F7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8253F7" w:rsidRPr="008253F7" w:rsidRDefault="008253F7" w:rsidP="008253F7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53F7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253F7" w:rsidRPr="008253F7" w:rsidTr="008253F7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3F7" w:rsidRPr="008253F7" w:rsidTr="008253F7">
        <w:trPr>
          <w:trHeight w:val="132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8253F7">
              <w:rPr>
                <w:rFonts w:ascii="Arial" w:hAnsi="Arial" w:cs="Arial"/>
                <w:sz w:val="14"/>
                <w:szCs w:val="16"/>
                <w:lang w:eastAsia="es-BO"/>
              </w:rPr>
              <w:t>08:00</w:t>
            </w:r>
            <w:r w:rsidRPr="008253F7">
              <w:rPr>
                <w:rFonts w:ascii="Arial" w:hAnsi="Arial" w:cs="Arial"/>
                <w:bCs/>
                <w:sz w:val="14"/>
                <w:szCs w:val="16"/>
                <w:lang w:eastAsia="es-BO"/>
              </w:rPr>
              <w:t xml:space="preserve"> a 16:00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3F7" w:rsidRPr="008253F7" w:rsidTr="008253F7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/>
            </w:tcBorders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Administrativas:</w:t>
            </w:r>
          </w:p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8253F7" w:rsidRPr="008253F7" w:rsidRDefault="008253F7" w:rsidP="008253F7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8253F7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8253F7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64" w:type="dxa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8253F7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8253F7" w:rsidRPr="008253F7" w:rsidTr="008253F7">
        <w:trPr>
          <w:trHeight w:val="185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Victor Hugo Huanca Ali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43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Álvaro Ismael Orozco Salas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Analista Senior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Gerencia de Operaciones Monetarias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8253F7" w:rsidRPr="008253F7" w:rsidTr="008253F7">
        <w:trPr>
          <w:trHeight w:val="209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8253F7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8253F7" w:rsidRPr="008253F7" w:rsidRDefault="008253F7" w:rsidP="008253F7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8253F7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4719 </w:t>
            </w:r>
            <w:r w:rsidRPr="008253F7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1954 </w:t>
            </w:r>
            <w:r w:rsidRPr="008253F7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253F7" w:rsidRPr="008253F7" w:rsidRDefault="008253F7" w:rsidP="008253F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 w:rsidRPr="008253F7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pt-BR" w:eastAsia="es-BO"/>
              </w:rPr>
              <w:t>vhuanca</w:t>
            </w:r>
            <w:proofErr w:type="gramEnd"/>
            <w:hyperlink r:id="rId7" w:history="1">
              <w:r w:rsidRPr="008253F7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@bcb.gob.bo</w:t>
              </w:r>
            </w:hyperlink>
          </w:p>
          <w:p w:rsidR="008253F7" w:rsidRPr="008253F7" w:rsidRDefault="008253F7" w:rsidP="008253F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8253F7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  <w:r w:rsidRPr="008253F7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 xml:space="preserve">aorozco@bcb.gob.bo  </w:t>
            </w:r>
            <w:r w:rsidRPr="008253F7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8253F7" w:rsidRPr="008253F7" w:rsidRDefault="008253F7" w:rsidP="008253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3F7" w:rsidRPr="008253F7" w:rsidTr="008253F7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3F7" w:rsidRPr="008253F7" w:rsidTr="008253F7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8253F7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8253F7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8253F7" w:rsidRPr="008253F7" w:rsidRDefault="008253F7" w:rsidP="008253F7">
            <w:pPr>
              <w:rPr>
                <w:rFonts w:ascii="Arial" w:hAnsi="Arial" w:cs="Arial"/>
                <w:sz w:val="8"/>
                <w:szCs w:val="2"/>
                <w:highlight w:val="yellow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i/>
                <w:color w:val="000099"/>
                <w:sz w:val="16"/>
                <w:szCs w:val="16"/>
                <w:highlight w:val="yellow"/>
              </w:rPr>
            </w:pPr>
            <w:r w:rsidRPr="008253F7">
              <w:rPr>
                <w:rFonts w:ascii="Arial" w:hAnsi="Arial" w:cs="Arial"/>
                <w:i/>
                <w:color w:val="FF0000"/>
                <w:sz w:val="18"/>
                <w:szCs w:val="16"/>
              </w:rPr>
              <w:t>“No corresponde en el presente proceso de contratación”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8253F7" w:rsidRPr="008253F7" w:rsidRDefault="008253F7" w:rsidP="008253F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8253F7" w:rsidRPr="008253F7" w:rsidTr="008253F7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8253F7" w:rsidRPr="008253F7" w:rsidRDefault="008253F7" w:rsidP="008253F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8253F7" w:rsidRDefault="008253F7" w:rsidP="008253F7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1" w:name="_Toc94724713"/>
    </w:p>
    <w:p w:rsidR="008253F7" w:rsidRDefault="008253F7" w:rsidP="008253F7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</w:p>
    <w:p w:rsidR="008253F7" w:rsidRDefault="008253F7" w:rsidP="008253F7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</w:p>
    <w:p w:rsidR="008253F7" w:rsidRDefault="008253F7" w:rsidP="008253F7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</w:p>
    <w:p w:rsidR="008253F7" w:rsidRPr="008253F7" w:rsidRDefault="008253F7" w:rsidP="008253F7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2" w:name="_GoBack"/>
      <w:bookmarkEnd w:id="2"/>
    </w:p>
    <w:p w:rsidR="008253F7" w:rsidRPr="008253F7" w:rsidRDefault="008253F7" w:rsidP="00AC6A3D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r w:rsidRPr="008253F7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1"/>
    </w:p>
    <w:p w:rsidR="008253F7" w:rsidRPr="008253F7" w:rsidRDefault="008253F7" w:rsidP="008253F7">
      <w:pPr>
        <w:spacing w:after="0" w:line="240" w:lineRule="auto"/>
        <w:rPr>
          <w:rFonts w:ascii="Verdana" w:eastAsia="Times New Roman" w:hAnsi="Verdana" w:cs="Times New Roman"/>
          <w:sz w:val="10"/>
          <w:szCs w:val="10"/>
          <w:lang w:eastAsia="es-ES"/>
        </w:rPr>
      </w:pP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253F7" w:rsidRPr="008253F7" w:rsidTr="004A4DEF">
        <w:trPr>
          <w:trHeight w:val="2290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8253F7" w:rsidRPr="008253F7" w:rsidRDefault="008253F7" w:rsidP="008253F7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8253F7" w:rsidRPr="008253F7" w:rsidRDefault="008253F7" w:rsidP="00AC6A3D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</w:rPr>
              <w:t>Presentación de propuestas:</w:t>
            </w:r>
          </w:p>
          <w:p w:rsidR="008253F7" w:rsidRPr="008253F7" w:rsidRDefault="008253F7" w:rsidP="00AC6A3D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</w:rPr>
              <w:t>Para contrataciones hasta Bs.200.000.- (DOSCIENTOS MIL 00/100 BOLIVIANOS), plazo mínimo cuatro (4) días hábiles;</w:t>
            </w:r>
          </w:p>
          <w:p w:rsidR="008253F7" w:rsidRPr="008253F7" w:rsidRDefault="008253F7" w:rsidP="00AC6A3D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8253F7" w:rsidRPr="008253F7" w:rsidRDefault="008253F7" w:rsidP="008253F7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8253F7" w:rsidRPr="008253F7" w:rsidRDefault="008253F7" w:rsidP="00AC6A3D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</w:rPr>
              <w:t>Presentación de documentos para la formalización de la contratación, plazo de entrega de documentos no menor a cuatro (4) días hábiles;</w:t>
            </w:r>
          </w:p>
          <w:p w:rsidR="008253F7" w:rsidRPr="008253F7" w:rsidRDefault="008253F7" w:rsidP="00AC6A3D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8253F7">
              <w:rPr>
                <w:rFonts w:ascii="Arial" w:eastAsia="Times New Roman" w:hAnsi="Arial" w:cs="Arial"/>
                <w:sz w:val="15"/>
                <w:szCs w:val="15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8253F7" w:rsidRPr="008253F7" w:rsidRDefault="008253F7" w:rsidP="008253F7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</w:pPr>
            <w:r w:rsidRPr="008253F7">
              <w:rPr>
                <w:rFonts w:ascii="Arial" w:eastAsia="Times New Roman" w:hAnsi="Arial" w:cs="Arial"/>
                <w:b/>
                <w:sz w:val="15"/>
                <w:szCs w:val="15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8253F7" w:rsidRPr="008253F7" w:rsidRDefault="008253F7" w:rsidP="008253F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8253F7" w:rsidRPr="008253F7" w:rsidRDefault="008253F7" w:rsidP="008253F7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8253F7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8253F7" w:rsidRPr="008253F7" w:rsidRDefault="008253F7" w:rsidP="008253F7">
      <w:pPr>
        <w:spacing w:after="0" w:line="240" w:lineRule="auto"/>
        <w:rPr>
          <w:rFonts w:ascii="Verdana" w:eastAsia="Times New Roman" w:hAnsi="Verdana" w:cs="Arial"/>
          <w:sz w:val="10"/>
          <w:szCs w:val="18"/>
          <w:lang w:val="es-ES" w:eastAsia="es-ES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7"/>
        <w:gridCol w:w="3195"/>
        <w:gridCol w:w="307"/>
        <w:gridCol w:w="69"/>
        <w:gridCol w:w="137"/>
        <w:gridCol w:w="143"/>
        <w:gridCol w:w="128"/>
        <w:gridCol w:w="143"/>
        <w:gridCol w:w="390"/>
        <w:gridCol w:w="143"/>
        <w:gridCol w:w="569"/>
        <w:gridCol w:w="154"/>
        <w:gridCol w:w="141"/>
        <w:gridCol w:w="337"/>
        <w:gridCol w:w="143"/>
        <w:gridCol w:w="331"/>
        <w:gridCol w:w="143"/>
        <w:gridCol w:w="147"/>
        <w:gridCol w:w="3443"/>
        <w:gridCol w:w="160"/>
      </w:tblGrid>
      <w:tr w:rsidR="008253F7" w:rsidRPr="008253F7" w:rsidTr="008253F7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8253F7" w:rsidRPr="008253F7" w:rsidTr="008253F7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8253F7" w:rsidRPr="008253F7" w:rsidTr="008253F7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8253F7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2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655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AC6A3D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8253F7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8253F7" w:rsidRPr="008253F7" w:rsidRDefault="008253F7" w:rsidP="008253F7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8253F7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 de conformidad al procedimiento establecido en 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412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zoom: </w:t>
            </w:r>
            <w:r w:rsidRPr="008253F7"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val="es-ES" w:eastAsia="es-ES"/>
              </w:rPr>
              <w:t>https://bcb-gob-bo.zoom.us/j/88483524446?pwd=UaPYHPywfkaa76jiR22GMRl8UU59Cy.1</w:t>
            </w:r>
          </w:p>
          <w:p w:rsidR="008253F7" w:rsidRPr="008253F7" w:rsidRDefault="008253F7" w:rsidP="008253F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val="es-ES" w:eastAsia="es-ES"/>
              </w:rPr>
            </w:pPr>
          </w:p>
          <w:p w:rsidR="008253F7" w:rsidRPr="008253F7" w:rsidRDefault="008253F7" w:rsidP="008253F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val="es-ES" w:eastAsia="es-ES"/>
              </w:rPr>
              <w:t>ID de reunión: 884 8352 4446</w:t>
            </w:r>
          </w:p>
          <w:p w:rsidR="008253F7" w:rsidRPr="008253F7" w:rsidRDefault="008253F7" w:rsidP="008253F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eastAsia="es-ES"/>
              </w:rPr>
            </w:pPr>
            <w:r w:rsidRPr="008253F7">
              <w:rPr>
                <w:rFonts w:ascii="Arial" w:eastAsia="Times New Roman" w:hAnsi="Arial" w:cs="Arial"/>
                <w:b/>
                <w:color w:val="365F91"/>
                <w:sz w:val="13"/>
                <w:szCs w:val="13"/>
                <w:lang w:val="es-ES" w:eastAsia="es-ES"/>
              </w:rPr>
              <w:t>Código de acceso: 939400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-62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253F7" w:rsidRPr="008253F7" w:rsidTr="004A4DEF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253F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8253F7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3F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253F7" w:rsidRPr="008253F7" w:rsidTr="004A4DEF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253F7" w:rsidRPr="008253F7" w:rsidRDefault="008253F7" w:rsidP="008253F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377751" w:rsidRPr="008253F7" w:rsidRDefault="008253F7" w:rsidP="008253F7">
      <w:pPr>
        <w:spacing w:after="0" w:line="240" w:lineRule="auto"/>
        <w:rPr>
          <w:rFonts w:ascii="Verdana" w:eastAsia="Times New Roman" w:hAnsi="Verdana" w:cs="Arial"/>
          <w:i/>
          <w:sz w:val="12"/>
          <w:szCs w:val="18"/>
          <w:lang w:val="es-ES" w:eastAsia="es-ES"/>
        </w:rPr>
      </w:pPr>
      <w:r w:rsidRPr="008253F7">
        <w:rPr>
          <w:rFonts w:ascii="Verdana" w:eastAsia="Times New Roman" w:hAnsi="Verdana" w:cs="Arial"/>
          <w:i/>
          <w:sz w:val="12"/>
          <w:szCs w:val="18"/>
          <w:lang w:eastAsia="es-ES"/>
        </w:rPr>
        <w:t>(*) Los plazos del proceso de contratación se computarán a partir del día siguiente hábil de la publicación en el SICOES.</w:t>
      </w:r>
    </w:p>
    <w:sectPr w:rsidR="00377751" w:rsidRPr="008253F7" w:rsidSect="008253F7">
      <w:headerReference w:type="default" r:id="rId8"/>
      <w:pgSz w:w="11906" w:h="16838"/>
      <w:pgMar w:top="2552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3D" w:rsidRDefault="00AC6A3D" w:rsidP="008253F7">
      <w:pPr>
        <w:spacing w:after="0" w:line="240" w:lineRule="auto"/>
      </w:pPr>
      <w:r>
        <w:separator/>
      </w:r>
    </w:p>
  </w:endnote>
  <w:endnote w:type="continuationSeparator" w:id="0">
    <w:p w:rsidR="00AC6A3D" w:rsidRDefault="00AC6A3D" w:rsidP="0082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3D" w:rsidRDefault="00AC6A3D" w:rsidP="008253F7">
      <w:pPr>
        <w:spacing w:after="0" w:line="240" w:lineRule="auto"/>
      </w:pPr>
      <w:r>
        <w:separator/>
      </w:r>
    </w:p>
  </w:footnote>
  <w:footnote w:type="continuationSeparator" w:id="0">
    <w:p w:rsidR="00AC6A3D" w:rsidRDefault="00AC6A3D" w:rsidP="0082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F7" w:rsidRDefault="008253F7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32E3A141" wp14:editId="61AE02C4">
          <wp:simplePos x="0" y="0"/>
          <wp:positionH relativeFrom="page">
            <wp:align>left</wp:align>
          </wp:positionH>
          <wp:positionV relativeFrom="paragraph">
            <wp:posOffset>-449421</wp:posOffset>
          </wp:positionV>
          <wp:extent cx="7759700" cy="1414780"/>
          <wp:effectExtent l="0" t="0" r="0" b="0"/>
          <wp:wrapNone/>
          <wp:docPr id="1" name="Imagen 1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DC4AA17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Verdana" w:hAnsi="Verdana" w:hint="default"/>
        <w:b/>
        <w:i w:val="0"/>
        <w:color w:val="auto"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F7"/>
    <w:rsid w:val="00377751"/>
    <w:rsid w:val="008253F7"/>
    <w:rsid w:val="00A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D320-6DE9-49DA-B1EC-6184F28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253F7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253F7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253F7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253F7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53F7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53F7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8253F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8253F7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8253F7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53F7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253F7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253F7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253F7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253F7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253F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8253F7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8253F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8253F7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8253F7"/>
  </w:style>
  <w:style w:type="paragraph" w:styleId="Textocomentario">
    <w:name w:val="annotation text"/>
    <w:aliases w:val=" Car Car"/>
    <w:basedOn w:val="Normal"/>
    <w:link w:val="TextocomentarioCar"/>
    <w:unhideWhenUsed/>
    <w:rsid w:val="008253F7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253F7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253F7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8253F7"/>
    <w:rPr>
      <w:color w:val="0000FF"/>
      <w:u w:val="single"/>
    </w:rPr>
  </w:style>
  <w:style w:type="paragraph" w:styleId="Encabezado">
    <w:name w:val="header"/>
    <w:basedOn w:val="Normal"/>
    <w:link w:val="EncabezadoCar"/>
    <w:rsid w:val="008253F7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253F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53F7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53F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8253F7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253F7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Iz - Párrafo de lista,Sivsa Parrafo,符号列表,列出段落2,·ûºÅÁÐ±í,ÁÐ³ö¶ÎÂä2,¡¤?o?¨¢D¡À¨ª,¨¢D3?????2,?¡è?o?¡§¡éD?¨¤¡§a,¡§¡éD3?????2"/>
    <w:basedOn w:val="Normal"/>
    <w:link w:val="PrrafodelistaCar"/>
    <w:uiPriority w:val="34"/>
    <w:qFormat/>
    <w:rsid w:val="008253F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82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8253F7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8253F7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253F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8253F7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8253F7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8253F7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253F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53F7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8253F7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53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8253F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8253F7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8253F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8253F7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Iz - Párrafo de lista Car,Sivsa Parrafo Car,符号列表 Car,列出段落2 Car"/>
    <w:link w:val="Prrafodelista"/>
    <w:uiPriority w:val="34"/>
    <w:qFormat/>
    <w:locked/>
    <w:rsid w:val="008253F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8253F7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825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8253F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253F7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53F7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8253F7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8253F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253F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253F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253F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8253F7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8253F7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8253F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rsid w:val="008253F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53F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8253F7"/>
    <w:rPr>
      <w:vertAlign w:val="superscript"/>
    </w:rPr>
  </w:style>
  <w:style w:type="paragraph" w:customStyle="1" w:styleId="BodyText21">
    <w:name w:val="Body Text 21"/>
    <w:basedOn w:val="Normal"/>
    <w:rsid w:val="008253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8253F7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8253F7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8253F7"/>
  </w:style>
  <w:style w:type="paragraph" w:customStyle="1" w:styleId="Document1">
    <w:name w:val="Document 1"/>
    <w:rsid w:val="008253F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8253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253F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8253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253F7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8253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8253F7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8253F7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8253F7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8253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8253F7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8253F7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qFormat/>
    <w:rsid w:val="008253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8253F7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8253F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82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82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53F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8253F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253F7"/>
    <w:rPr>
      <w:color w:val="808080"/>
    </w:rPr>
  </w:style>
  <w:style w:type="character" w:styleId="Textoennegrita">
    <w:name w:val="Strong"/>
    <w:basedOn w:val="Fuentedeprrafopredeter"/>
    <w:uiPriority w:val="22"/>
    <w:qFormat/>
    <w:rsid w:val="008253F7"/>
    <w:rPr>
      <w:b/>
      <w:bCs/>
    </w:rPr>
  </w:style>
  <w:style w:type="paragraph" w:customStyle="1" w:styleId="Subttulo1">
    <w:name w:val="Subtítulo1"/>
    <w:basedOn w:val="Normal"/>
    <w:next w:val="Normal"/>
    <w:qFormat/>
    <w:rsid w:val="008253F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253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8253F7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8253F7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8253F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8253F7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53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53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8253F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82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8253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cuadrcula1clara1">
    <w:name w:val="Tabla de cuadrícula 1 clara1"/>
    <w:basedOn w:val="Tablanormal"/>
    <w:next w:val="Tabladecuadrcula1clara"/>
    <w:uiPriority w:val="46"/>
    <w:rsid w:val="0082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link w:val="SubttuloCar"/>
    <w:qFormat/>
    <w:rsid w:val="008253F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8253F7"/>
    <w:rPr>
      <w:rFonts w:eastAsiaTheme="minorEastAsia"/>
      <w:color w:val="5A5A5A" w:themeColor="text1" w:themeTint="A5"/>
      <w:spacing w:val="15"/>
    </w:rPr>
  </w:style>
  <w:style w:type="table" w:styleId="Cuadrculadetablaclara">
    <w:name w:val="Grid Table Light"/>
    <w:basedOn w:val="Tablanormal"/>
    <w:uiPriority w:val="40"/>
    <w:rsid w:val="008253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8253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mani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2139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1</cp:revision>
  <dcterms:created xsi:type="dcterms:W3CDTF">2025-12-02T00:46:00Z</dcterms:created>
  <dcterms:modified xsi:type="dcterms:W3CDTF">2025-12-02T00:48:00Z</dcterms:modified>
</cp:coreProperties>
</file>