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95" w:rsidRPr="001F2495" w:rsidRDefault="001F2495" w:rsidP="001F2495">
      <w:pPr>
        <w:jc w:val="center"/>
        <w:rPr>
          <w:rFonts w:ascii="Arial" w:hAnsi="Arial" w:cs="Arial"/>
          <w:b/>
          <w:sz w:val="22"/>
          <w:szCs w:val="22"/>
        </w:rPr>
      </w:pPr>
      <w:r w:rsidRPr="001F2495">
        <w:rPr>
          <w:rFonts w:ascii="Arial" w:hAnsi="Arial" w:cs="Arial"/>
          <w:b/>
          <w:sz w:val="22"/>
          <w:szCs w:val="22"/>
        </w:rPr>
        <w:t>OFERTA DEL PROVEEDOR IDENTIFICADO</w:t>
      </w:r>
    </w:p>
    <w:p w:rsidR="001F2495" w:rsidRDefault="001F2495" w:rsidP="001F2495">
      <w:pPr>
        <w:jc w:val="center"/>
        <w:rPr>
          <w:rFonts w:ascii="Arial" w:hAnsi="Arial" w:cs="Arial"/>
          <w:b/>
          <w:sz w:val="22"/>
          <w:szCs w:val="22"/>
        </w:rPr>
      </w:pPr>
      <w:r w:rsidRPr="001F2495">
        <w:rPr>
          <w:rFonts w:ascii="Arial" w:hAnsi="Arial" w:cs="Arial"/>
          <w:b/>
          <w:sz w:val="22"/>
          <w:szCs w:val="22"/>
        </w:rPr>
        <w:t xml:space="preserve">(INVITACIÓN PARA LA PRESENTACIÓN DE PROPUESTAS) </w:t>
      </w:r>
    </w:p>
    <w:p w:rsidR="001F2495" w:rsidRPr="00652EBA" w:rsidRDefault="001F2495" w:rsidP="001F2495">
      <w:pPr>
        <w:jc w:val="center"/>
        <w:rPr>
          <w:rFonts w:ascii="Arial" w:hAnsi="Arial" w:cs="Arial"/>
          <w:b/>
          <w:sz w:val="16"/>
          <w:szCs w:val="16"/>
        </w:rPr>
      </w:pPr>
    </w:p>
    <w:p w:rsidR="001D4E89" w:rsidRPr="002A6C3B" w:rsidRDefault="002A6C3B" w:rsidP="002A6C3B">
      <w:pPr>
        <w:ind w:left="213"/>
        <w:jc w:val="center"/>
        <w:rPr>
          <w:rFonts w:ascii="Arial" w:hAnsi="Arial" w:cs="Arial"/>
          <w:b/>
          <w:sz w:val="22"/>
          <w:szCs w:val="18"/>
        </w:rPr>
      </w:pPr>
      <w:r w:rsidRPr="002A6C3B">
        <w:rPr>
          <w:rFonts w:ascii="Arial" w:hAnsi="Arial" w:cs="Arial"/>
          <w:b/>
          <w:sz w:val="22"/>
          <w:szCs w:val="18"/>
        </w:rPr>
        <w:t>CONTRATACIÓ</w:t>
      </w:r>
      <w:r w:rsidR="001D4E89" w:rsidRPr="002A6C3B">
        <w:rPr>
          <w:rFonts w:ascii="Arial" w:hAnsi="Arial" w:cs="Arial"/>
          <w:b/>
          <w:sz w:val="22"/>
          <w:szCs w:val="18"/>
        </w:rPr>
        <w:t>N MENOR</w:t>
      </w:r>
    </w:p>
    <w:p w:rsidR="001D4E89" w:rsidRPr="002A6C3B" w:rsidRDefault="001D4E89" w:rsidP="002A6C3B">
      <w:pPr>
        <w:ind w:left="213"/>
        <w:jc w:val="center"/>
        <w:rPr>
          <w:rFonts w:ascii="Arial" w:hAnsi="Arial" w:cs="Arial"/>
          <w:b/>
          <w:sz w:val="22"/>
          <w:szCs w:val="18"/>
        </w:rPr>
      </w:pPr>
      <w:r w:rsidRPr="002A6C3B">
        <w:rPr>
          <w:rFonts w:ascii="Arial" w:hAnsi="Arial" w:cs="Arial"/>
          <w:b/>
          <w:sz w:val="22"/>
          <w:szCs w:val="18"/>
        </w:rPr>
        <w:t>CM&gt;B N° 0</w:t>
      </w:r>
      <w:r w:rsidR="008B33FD">
        <w:rPr>
          <w:rFonts w:ascii="Arial" w:hAnsi="Arial" w:cs="Arial"/>
          <w:b/>
          <w:sz w:val="22"/>
          <w:szCs w:val="18"/>
        </w:rPr>
        <w:t>2</w:t>
      </w:r>
      <w:r w:rsidR="00B934E0">
        <w:rPr>
          <w:rFonts w:ascii="Arial" w:hAnsi="Arial" w:cs="Arial"/>
          <w:b/>
          <w:sz w:val="22"/>
          <w:szCs w:val="18"/>
        </w:rPr>
        <w:t>8</w:t>
      </w:r>
      <w:r w:rsidRPr="002A6C3B">
        <w:rPr>
          <w:rFonts w:ascii="Arial" w:hAnsi="Arial" w:cs="Arial"/>
          <w:b/>
          <w:sz w:val="22"/>
          <w:szCs w:val="18"/>
        </w:rPr>
        <w:t>/202</w:t>
      </w:r>
      <w:r w:rsidR="006A23A0">
        <w:rPr>
          <w:rFonts w:ascii="Arial" w:hAnsi="Arial" w:cs="Arial"/>
          <w:b/>
          <w:sz w:val="22"/>
          <w:szCs w:val="18"/>
        </w:rPr>
        <w:t>2</w:t>
      </w:r>
    </w:p>
    <w:p w:rsidR="007738B5" w:rsidRPr="002A6C3B" w:rsidRDefault="008B33FD" w:rsidP="00940E50">
      <w:pPr>
        <w:ind w:left="213"/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ADQUISICIÓN DE KIT DE MANTENIMIENTO PARA IMPRESORAS LASER</w:t>
      </w:r>
    </w:p>
    <w:p w:rsidR="001D4E89" w:rsidRPr="00B1452D" w:rsidRDefault="001D4E89" w:rsidP="002A6C3B">
      <w:pPr>
        <w:ind w:left="213"/>
        <w:jc w:val="center"/>
        <w:rPr>
          <w:rFonts w:ascii="Arial" w:hAnsi="Arial" w:cs="Arial"/>
          <w:b/>
          <w:sz w:val="14"/>
          <w:szCs w:val="14"/>
        </w:rPr>
      </w:pPr>
    </w:p>
    <w:p w:rsidR="005A416E" w:rsidRDefault="005C7996" w:rsidP="001E658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18"/>
        </w:rPr>
      </w:pPr>
      <w:r w:rsidRPr="001E658A">
        <w:rPr>
          <w:rFonts w:ascii="Arial" w:hAnsi="Arial" w:cs="Arial"/>
          <w:b/>
          <w:sz w:val="22"/>
          <w:szCs w:val="18"/>
        </w:rPr>
        <w:t>FORMA DE ADJUDICACIÓN</w:t>
      </w:r>
      <w:r w:rsidR="002A6C3B" w:rsidRPr="001E658A">
        <w:rPr>
          <w:rFonts w:ascii="Arial" w:hAnsi="Arial" w:cs="Arial"/>
          <w:b/>
          <w:sz w:val="22"/>
          <w:szCs w:val="18"/>
        </w:rPr>
        <w:t xml:space="preserve">: </w:t>
      </w:r>
      <w:r w:rsidR="002A6C3B" w:rsidRPr="001E658A">
        <w:rPr>
          <w:rFonts w:ascii="Arial" w:hAnsi="Arial" w:cs="Arial"/>
          <w:sz w:val="22"/>
          <w:szCs w:val="18"/>
        </w:rPr>
        <w:t xml:space="preserve">Por </w:t>
      </w:r>
      <w:r w:rsidR="00574578">
        <w:rPr>
          <w:rFonts w:ascii="Arial" w:hAnsi="Arial" w:cs="Arial"/>
          <w:sz w:val="22"/>
          <w:szCs w:val="18"/>
        </w:rPr>
        <w:t>Items</w:t>
      </w:r>
    </w:p>
    <w:p w:rsidR="005C7996" w:rsidRPr="00B1452D" w:rsidRDefault="005C7996" w:rsidP="005C7996">
      <w:pPr>
        <w:pStyle w:val="Prrafodelista"/>
        <w:ind w:left="573"/>
        <w:jc w:val="both"/>
        <w:rPr>
          <w:rFonts w:ascii="Arial" w:hAnsi="Arial" w:cs="Arial"/>
          <w:sz w:val="14"/>
          <w:szCs w:val="14"/>
        </w:rPr>
      </w:pPr>
    </w:p>
    <w:p w:rsidR="00E90140" w:rsidRDefault="002A6C3B" w:rsidP="00E9014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18"/>
        </w:rPr>
      </w:pPr>
      <w:r w:rsidRPr="001E658A">
        <w:rPr>
          <w:rFonts w:ascii="Arial" w:hAnsi="Arial" w:cs="Arial"/>
          <w:b/>
          <w:sz w:val="22"/>
          <w:szCs w:val="18"/>
        </w:rPr>
        <w:t>ESPE</w:t>
      </w:r>
      <w:r w:rsidR="00E90140">
        <w:rPr>
          <w:rFonts w:ascii="Arial" w:hAnsi="Arial" w:cs="Arial"/>
          <w:b/>
          <w:sz w:val="22"/>
          <w:szCs w:val="18"/>
        </w:rPr>
        <w:t>CIFICACIONES TÉCNICAS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08"/>
        <w:gridCol w:w="7125"/>
        <w:gridCol w:w="1276"/>
      </w:tblGrid>
      <w:tr w:rsidR="008B33FD" w:rsidTr="00DD6B91">
        <w:tc>
          <w:tcPr>
            <w:tcW w:w="80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8B33FD" w:rsidRPr="00843556" w:rsidRDefault="008B33FD" w:rsidP="00DD6B9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71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8B33FD" w:rsidRPr="00843556" w:rsidRDefault="008B33FD" w:rsidP="00DD6B9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3556">
              <w:rPr>
                <w:rFonts w:ascii="Arial" w:hAnsi="Arial" w:cs="Arial"/>
                <w:b/>
                <w:sz w:val="22"/>
                <w:szCs w:val="22"/>
                <w:lang w:val="pt-BR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8B33FD" w:rsidRPr="00843556" w:rsidRDefault="008B33FD" w:rsidP="00DD6B9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Cantidad</w:t>
            </w:r>
            <w:proofErr w:type="spellEnd"/>
          </w:p>
        </w:tc>
      </w:tr>
      <w:tr w:rsidR="008B33FD" w:rsidTr="00DD6B91"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B33FD" w:rsidRPr="00D066E9" w:rsidRDefault="008B33FD" w:rsidP="00DD6B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D066E9">
              <w:rPr>
                <w:rFonts w:ascii="Arial" w:hAnsi="Arial" w:cs="Arial"/>
                <w:sz w:val="22"/>
                <w:szCs w:val="22"/>
                <w:lang w:val="es-BO"/>
              </w:rPr>
              <w:t>1</w:t>
            </w:r>
          </w:p>
        </w:tc>
        <w:tc>
          <w:tcPr>
            <w:tcW w:w="71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3FD" w:rsidRPr="00D066E9" w:rsidRDefault="008B33FD" w:rsidP="00DD6B91">
            <w:pPr>
              <w:rPr>
                <w:rFonts w:ascii="Arial" w:hAnsi="Arial" w:cs="Arial"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sz w:val="22"/>
                <w:szCs w:val="22"/>
                <w:lang w:val="es-BO"/>
              </w:rPr>
              <w:t>Adquisición de kit de mantenimiento para impresoras láser marca HP, modelo M606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>, con las siguientes características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:</w:t>
            </w:r>
          </w:p>
          <w:p w:rsidR="008B33FD" w:rsidRPr="00B31054" w:rsidRDefault="008B33FD" w:rsidP="008B33F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b/>
                <w:sz w:val="22"/>
                <w:szCs w:val="22"/>
                <w:lang w:val="es-BO"/>
              </w:rPr>
              <w:t>Componentes:</w:t>
            </w: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 xml:space="preserve"> El kit de mantenimiento deberá incluir al menos los siguientes componentes:</w:t>
            </w:r>
          </w:p>
          <w:p w:rsidR="008B33FD" w:rsidRPr="00B31054" w:rsidRDefault="008B33FD" w:rsidP="008B33FD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Unidad de fusor.</w:t>
            </w:r>
          </w:p>
          <w:p w:rsidR="008B33FD" w:rsidRPr="00B31054" w:rsidRDefault="008B33FD" w:rsidP="008B33FD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Rodillo de transferencia.</w:t>
            </w:r>
          </w:p>
          <w:p w:rsidR="008B33FD" w:rsidRPr="00B31054" w:rsidRDefault="008B33FD" w:rsidP="008B33FD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 xml:space="preserve">Rodillos de arrastre (pick </w:t>
            </w:r>
            <w:proofErr w:type="spellStart"/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roller</w:t>
            </w:r>
            <w:proofErr w:type="spellEnd"/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).</w:t>
            </w:r>
          </w:p>
          <w:p w:rsidR="008B33FD" w:rsidRPr="0091286D" w:rsidRDefault="008B33FD" w:rsidP="008B33F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B1532">
              <w:rPr>
                <w:rFonts w:ascii="Arial" w:hAnsi="Arial" w:cs="Arial"/>
                <w:b/>
                <w:sz w:val="22"/>
                <w:szCs w:val="22"/>
                <w:lang w:val="es-BO"/>
              </w:rPr>
              <w:t>Capacidad de impresión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 de la unidad de fusor</w:t>
            </w:r>
            <w:r w:rsidRPr="008B1532">
              <w:rPr>
                <w:rFonts w:ascii="Arial" w:hAnsi="Arial" w:cs="Arial"/>
                <w:b/>
                <w:sz w:val="22"/>
                <w:szCs w:val="22"/>
                <w:lang w:val="es-BO"/>
              </w:rPr>
              <w:t>:</w:t>
            </w:r>
            <w:r w:rsidRPr="008B1532"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Al menos </w:t>
            </w:r>
            <w:r w:rsidRPr="008B1532">
              <w:rPr>
                <w:rFonts w:ascii="Arial" w:hAnsi="Arial" w:cs="Arial"/>
                <w:sz w:val="22"/>
                <w:szCs w:val="22"/>
                <w:lang w:val="es-BO"/>
              </w:rPr>
              <w:t>225.000 impresiones</w:t>
            </w:r>
            <w:r w:rsidRPr="0091286D">
              <w:rPr>
                <w:rFonts w:ascii="Arial" w:hAnsi="Arial" w:cs="Arial"/>
                <w:sz w:val="22"/>
                <w:szCs w:val="22"/>
                <w:lang w:val="es-BO"/>
              </w:rPr>
              <w:t xml:space="preserve"> (nominal).</w:t>
            </w:r>
          </w:p>
          <w:p w:rsidR="008B33FD" w:rsidRDefault="008B33FD" w:rsidP="008B33F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C05AD3">
              <w:rPr>
                <w:rFonts w:ascii="Arial" w:hAnsi="Arial" w:cs="Arial"/>
                <w:b/>
                <w:sz w:val="22"/>
                <w:szCs w:val="22"/>
                <w:lang w:val="es-BO"/>
              </w:rPr>
              <w:t>Compatibilidad: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El kit de mantenimiento deberá ser 100% compatible con la impresora láser de marca HP, modelo M606.</w:t>
            </w:r>
          </w:p>
          <w:p w:rsidR="008B33FD" w:rsidRPr="000558E4" w:rsidRDefault="008B33FD" w:rsidP="008B33F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0558E4">
              <w:rPr>
                <w:rFonts w:ascii="Arial" w:hAnsi="Arial" w:cs="Arial"/>
                <w:b/>
                <w:sz w:val="22"/>
                <w:szCs w:val="22"/>
                <w:lang w:val="es-BO"/>
              </w:rPr>
              <w:t>Voltaje:</w:t>
            </w:r>
            <w:r w:rsidRPr="000558E4">
              <w:rPr>
                <w:rFonts w:ascii="Arial" w:hAnsi="Arial" w:cs="Arial"/>
                <w:sz w:val="22"/>
                <w:szCs w:val="22"/>
                <w:lang w:val="es-BO"/>
              </w:rPr>
              <w:t xml:space="preserve"> 220V / 50 Hz.</w:t>
            </w:r>
          </w:p>
          <w:p w:rsidR="008B33FD" w:rsidRPr="000558E4" w:rsidRDefault="008B33FD" w:rsidP="008B33FD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2D5F8B">
              <w:rPr>
                <w:rFonts w:ascii="Arial" w:hAnsi="Arial" w:cs="Arial"/>
                <w:b/>
                <w:sz w:val="22"/>
                <w:szCs w:val="22"/>
                <w:lang w:val="es-BO"/>
              </w:rPr>
              <w:t>Características generales de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>l kit de mantenimiento</w:t>
            </w:r>
            <w:r w:rsidRPr="002D5F8B">
              <w:rPr>
                <w:rFonts w:ascii="Arial" w:hAnsi="Arial" w:cs="Arial"/>
                <w:b/>
                <w:sz w:val="22"/>
                <w:szCs w:val="22"/>
                <w:lang w:val="es-BO"/>
              </w:rPr>
              <w:t>: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El kit de mantenimiento 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deberá ser nuevo, original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 xml:space="preserve">del fabricante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HP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. No se aceptarán repuestos reacondicionados (“</w:t>
            </w:r>
            <w:proofErr w:type="spellStart"/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refurbished</w:t>
            </w:r>
            <w:proofErr w:type="spellEnd"/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”).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33FD" w:rsidRPr="00D066E9" w:rsidRDefault="008B33FD" w:rsidP="00DD6B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066E9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</w:p>
        </w:tc>
      </w:tr>
      <w:tr w:rsidR="008B33FD" w:rsidTr="00DD6B91"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B33FD" w:rsidRPr="00D066E9" w:rsidRDefault="008B33FD" w:rsidP="00DD6B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D066E9">
              <w:rPr>
                <w:rFonts w:ascii="Arial" w:hAnsi="Arial" w:cs="Arial"/>
                <w:sz w:val="22"/>
                <w:szCs w:val="22"/>
                <w:lang w:val="es-BO"/>
              </w:rPr>
              <w:t>2</w:t>
            </w:r>
          </w:p>
        </w:tc>
        <w:tc>
          <w:tcPr>
            <w:tcW w:w="71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3FD" w:rsidRPr="00D066E9" w:rsidRDefault="008B33FD" w:rsidP="00DD6B91">
            <w:pPr>
              <w:rPr>
                <w:rFonts w:ascii="Arial" w:hAnsi="Arial" w:cs="Arial"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sz w:val="22"/>
                <w:szCs w:val="22"/>
                <w:lang w:val="es-BO"/>
              </w:rPr>
              <w:t>Adquisición de kit de mantenimiento para impresoras láser marca HP, modelo P3015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>, con las siguientes características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:</w:t>
            </w:r>
          </w:p>
          <w:p w:rsidR="008B33FD" w:rsidRPr="00B31054" w:rsidRDefault="008B33FD" w:rsidP="008B33F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b/>
                <w:sz w:val="22"/>
                <w:szCs w:val="22"/>
                <w:lang w:val="es-BO"/>
              </w:rPr>
              <w:t>Componentes:</w:t>
            </w: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 xml:space="preserve"> El kit de mantenimiento deberá incluir al menos los siguientes componentes:</w:t>
            </w:r>
          </w:p>
          <w:p w:rsidR="008B33FD" w:rsidRPr="00B31054" w:rsidRDefault="008B33FD" w:rsidP="008B33FD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Unidad de fusor.</w:t>
            </w:r>
          </w:p>
          <w:p w:rsidR="008B33FD" w:rsidRPr="00B31054" w:rsidRDefault="008B33FD" w:rsidP="008B33FD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Rodillo de transferencia.</w:t>
            </w:r>
          </w:p>
          <w:p w:rsidR="008B33FD" w:rsidRPr="00B31054" w:rsidRDefault="008B33FD" w:rsidP="008B33FD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 xml:space="preserve">Rodillos de arrastre (pick </w:t>
            </w:r>
            <w:proofErr w:type="spellStart"/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roller</w:t>
            </w:r>
            <w:proofErr w:type="spellEnd"/>
            <w:r w:rsidRPr="00B31054">
              <w:rPr>
                <w:rFonts w:ascii="Arial" w:hAnsi="Arial" w:cs="Arial"/>
                <w:sz w:val="22"/>
                <w:szCs w:val="22"/>
                <w:lang w:val="es-BO"/>
              </w:rPr>
              <w:t>).</w:t>
            </w:r>
          </w:p>
          <w:p w:rsidR="008B33FD" w:rsidRPr="0091286D" w:rsidRDefault="008B33FD" w:rsidP="008B33FD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B1532">
              <w:rPr>
                <w:rFonts w:ascii="Arial" w:hAnsi="Arial" w:cs="Arial"/>
                <w:b/>
                <w:sz w:val="22"/>
                <w:szCs w:val="22"/>
                <w:lang w:val="es-BO"/>
              </w:rPr>
              <w:t>Capacidad de impresión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 de la unidad de fusor</w:t>
            </w:r>
            <w:r w:rsidRPr="008B1532">
              <w:rPr>
                <w:rFonts w:ascii="Arial" w:hAnsi="Arial" w:cs="Arial"/>
                <w:b/>
                <w:sz w:val="22"/>
                <w:szCs w:val="22"/>
                <w:lang w:val="es-BO"/>
              </w:rPr>
              <w:t>:</w:t>
            </w:r>
            <w:r w:rsidRPr="008B1532"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Al menos </w:t>
            </w:r>
            <w:r w:rsidRPr="008B1532">
              <w:rPr>
                <w:rFonts w:ascii="Arial" w:hAnsi="Arial" w:cs="Arial"/>
                <w:sz w:val="22"/>
                <w:szCs w:val="22"/>
                <w:lang w:val="es-BO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00</w:t>
            </w:r>
            <w:r w:rsidRPr="008B1532">
              <w:rPr>
                <w:rFonts w:ascii="Arial" w:hAnsi="Arial" w:cs="Arial"/>
                <w:sz w:val="22"/>
                <w:szCs w:val="22"/>
                <w:lang w:val="es-BO"/>
              </w:rPr>
              <w:t>.000 impresiones</w:t>
            </w:r>
            <w:r w:rsidRPr="0091286D">
              <w:rPr>
                <w:rFonts w:ascii="Arial" w:hAnsi="Arial" w:cs="Arial"/>
                <w:sz w:val="22"/>
                <w:szCs w:val="22"/>
                <w:lang w:val="es-BO"/>
              </w:rPr>
              <w:t xml:space="preserve"> (nominal).</w:t>
            </w:r>
          </w:p>
          <w:p w:rsidR="008B33FD" w:rsidRDefault="008B33FD" w:rsidP="008B33FD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C05AD3">
              <w:rPr>
                <w:rFonts w:ascii="Arial" w:hAnsi="Arial" w:cs="Arial"/>
                <w:b/>
                <w:sz w:val="22"/>
                <w:szCs w:val="22"/>
                <w:lang w:val="es-BO"/>
              </w:rPr>
              <w:t>Compatibilidad: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El kit de mantenimiento deberá ser 100% compatible con la impresora láser de marca HP, modelo P3015.</w:t>
            </w:r>
          </w:p>
          <w:p w:rsidR="008B33FD" w:rsidRPr="000558E4" w:rsidRDefault="008B33FD" w:rsidP="008B33FD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0558E4">
              <w:rPr>
                <w:rFonts w:ascii="Arial" w:hAnsi="Arial" w:cs="Arial"/>
                <w:b/>
                <w:sz w:val="22"/>
                <w:szCs w:val="22"/>
                <w:lang w:val="es-BO"/>
              </w:rPr>
              <w:t>Voltaje:</w:t>
            </w:r>
            <w:r w:rsidRPr="000558E4">
              <w:rPr>
                <w:rFonts w:ascii="Arial" w:hAnsi="Arial" w:cs="Arial"/>
                <w:sz w:val="22"/>
                <w:szCs w:val="22"/>
                <w:lang w:val="es-BO"/>
              </w:rPr>
              <w:t xml:space="preserve"> 220V / 50 Hz.</w:t>
            </w:r>
          </w:p>
          <w:p w:rsidR="008B33FD" w:rsidRPr="00DB09D3" w:rsidRDefault="008B33FD" w:rsidP="008B33FD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2D5F8B">
              <w:rPr>
                <w:rFonts w:ascii="Arial" w:hAnsi="Arial" w:cs="Arial"/>
                <w:b/>
                <w:sz w:val="22"/>
                <w:szCs w:val="22"/>
                <w:lang w:val="es-BO"/>
              </w:rPr>
              <w:t>Características generales de</w:t>
            </w:r>
            <w:r>
              <w:rPr>
                <w:rFonts w:ascii="Arial" w:hAnsi="Arial" w:cs="Arial"/>
                <w:b/>
                <w:sz w:val="22"/>
                <w:szCs w:val="22"/>
                <w:lang w:val="es-BO"/>
              </w:rPr>
              <w:t>l kit de mantenimiento</w:t>
            </w:r>
            <w:r w:rsidRPr="002D5F8B">
              <w:rPr>
                <w:rFonts w:ascii="Arial" w:hAnsi="Arial" w:cs="Arial"/>
                <w:b/>
                <w:sz w:val="22"/>
                <w:szCs w:val="22"/>
                <w:lang w:val="es-BO"/>
              </w:rPr>
              <w:t>: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El kit de mantenimiento 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deberá ser nuevo, original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 xml:space="preserve">del fabricante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HP</w:t>
            </w:r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. No se aceptarán repuestos reacondicionados (“</w:t>
            </w:r>
            <w:proofErr w:type="spellStart"/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refurbished</w:t>
            </w:r>
            <w:proofErr w:type="spellEnd"/>
            <w:r w:rsidRPr="002D5F8B">
              <w:rPr>
                <w:rFonts w:ascii="Arial" w:hAnsi="Arial" w:cs="Arial"/>
                <w:sz w:val="22"/>
                <w:szCs w:val="22"/>
                <w:lang w:val="es-BO"/>
              </w:rPr>
              <w:t>”).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33FD" w:rsidRPr="00D066E9" w:rsidRDefault="008B33FD" w:rsidP="00DD6B9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</w:t>
            </w:r>
          </w:p>
        </w:tc>
      </w:tr>
      <w:tr w:rsidR="008B33FD" w:rsidTr="00DD6B91">
        <w:tc>
          <w:tcPr>
            <w:tcW w:w="920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33FD" w:rsidRPr="006D6BF9" w:rsidRDefault="008B33FD" w:rsidP="00DD6B91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>
              <w:rPr>
                <w:rFonts w:ascii="Arial" w:hAnsi="Arial" w:cs="Arial"/>
                <w:sz w:val="22"/>
                <w:szCs w:val="22"/>
                <w:lang w:val="es-BO"/>
              </w:rPr>
              <w:t>Condiciones generales para los dos ítems:</w:t>
            </w:r>
          </w:p>
          <w:p w:rsidR="008B33FD" w:rsidRPr="00C05AD3" w:rsidRDefault="008B33FD" w:rsidP="008B33FD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C05AD3">
              <w:rPr>
                <w:rFonts w:ascii="Arial" w:hAnsi="Arial" w:cs="Arial"/>
                <w:b/>
                <w:sz w:val="22"/>
                <w:szCs w:val="22"/>
                <w:lang w:val="es-BO"/>
              </w:rPr>
              <w:t>Plazo de entrega: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 Hasta quince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15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) días calendario a partir del siguiente día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hábil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 de la recepción de la Orden de Compra por el proveedor, si el último día del plazo de 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lastRenderedPageBreak/>
              <w:t>entrega fuera un día no hábil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 (sábado, domingo o feriado)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>, éste será trasladado al inmediato día hábil posterior. El proveedor deberá realizar la entrega de los bienes en la Unidad de Almacenes del BCB.</w:t>
            </w:r>
          </w:p>
          <w:p w:rsidR="008B33FD" w:rsidRDefault="008B33FD" w:rsidP="008B33FD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C05AD3">
              <w:rPr>
                <w:rFonts w:ascii="Arial" w:hAnsi="Arial" w:cs="Arial"/>
                <w:b/>
                <w:sz w:val="22"/>
                <w:szCs w:val="22"/>
                <w:lang w:val="es-BO"/>
              </w:rPr>
              <w:t>Garantía de la empresa proveedora</w:t>
            </w:r>
            <w:r w:rsidRPr="00C05AD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Pr="00C05A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 (1) año</w:t>
            </w:r>
            <w:r w:rsidRPr="00C05A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la empresa proveedora deberá entregar un documento de respaldo antes de la emisión del Acta de Recepción.</w:t>
            </w:r>
          </w:p>
          <w:p w:rsidR="008B33FD" w:rsidRPr="00FB0676" w:rsidRDefault="008B33FD" w:rsidP="008B33FD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FB0676">
              <w:rPr>
                <w:rFonts w:ascii="Arial" w:hAnsi="Arial" w:cs="Arial"/>
                <w:b/>
                <w:sz w:val="22"/>
                <w:szCs w:val="22"/>
                <w:lang w:val="es-BO"/>
              </w:rPr>
              <w:t xml:space="preserve">Multas: </w:t>
            </w:r>
            <w:r w:rsidRPr="00FB0676">
              <w:rPr>
                <w:rFonts w:ascii="Arial" w:hAnsi="Arial" w:cs="Arial"/>
                <w:sz w:val="22"/>
                <w:szCs w:val="22"/>
                <w:lang w:val="es-BO"/>
              </w:rPr>
              <w:t>Uno por ciento (1%) del monto total de la Orden de Compra por día hábil de retraso en la entrega de los bienes. Si la multa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 xml:space="preserve"> alcanza el diez por ciento (10%) la Orden de Compra quedará sin efecto</w:t>
            </w:r>
            <w:r w:rsidRPr="00FB0676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:rsidR="008B33FD" w:rsidRPr="00C05AD3" w:rsidRDefault="008B33FD" w:rsidP="008B33FD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C05AD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Pruebas y verificación:</w:t>
            </w:r>
            <w:r w:rsidRPr="00C05A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Personal del Dpto. de Soporte Técnico de la Gerencia de Sistemas del BCB 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>realizará pruebas y verificación de las características de los b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ienes en un plazo de hasta tres (3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) días 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hábiles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>.</w:t>
            </w:r>
          </w:p>
          <w:p w:rsidR="008B33FD" w:rsidRPr="00C05AD3" w:rsidRDefault="008B33FD" w:rsidP="008B33FD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C05AD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Acta de Recepción:</w:t>
            </w:r>
            <w:r w:rsidRPr="00C05AD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C05AD3">
              <w:rPr>
                <w:rFonts w:ascii="Arial" w:hAnsi="Arial" w:cs="Arial"/>
                <w:bCs/>
                <w:iCs/>
                <w:sz w:val="22"/>
                <w:szCs w:val="22"/>
                <w:lang w:val="es-ES_tradnl"/>
              </w:rPr>
              <w:t>Una vez concluidas las pruebas y verificación de las características técnicas de los bienes, el Responsable de Recepción procederá a la elaboración del Acta de Recepción.</w:t>
            </w:r>
          </w:p>
          <w:p w:rsidR="008B33FD" w:rsidRDefault="008B33FD" w:rsidP="008B33FD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05AD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Forma de pago: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 Posterior a la emisión del Acta de Recepción</w:t>
            </w:r>
            <w:r>
              <w:rPr>
                <w:rFonts w:ascii="Arial" w:hAnsi="Arial" w:cs="Arial"/>
                <w:sz w:val="22"/>
                <w:szCs w:val="22"/>
                <w:lang w:val="es-BO"/>
              </w:rPr>
              <w:t>, recepción del documento de respaldo de la garantía de la empresa proveedora</w:t>
            </w:r>
            <w:r w:rsidRPr="00C05AD3">
              <w:rPr>
                <w:rFonts w:ascii="Arial" w:hAnsi="Arial" w:cs="Arial"/>
                <w:sz w:val="22"/>
                <w:szCs w:val="22"/>
                <w:lang w:val="es-BO"/>
              </w:rPr>
              <w:t xml:space="preserve"> y presentación de factura de ley por parte del proveedor.</w:t>
            </w:r>
          </w:p>
        </w:tc>
      </w:tr>
    </w:tbl>
    <w:p w:rsidR="008B33FD" w:rsidRDefault="008B33FD" w:rsidP="008B33FD">
      <w:pPr>
        <w:spacing w:before="120"/>
        <w:rPr>
          <w:rFonts w:ascii="Arial" w:hAnsi="Arial" w:cs="Arial"/>
          <w:sz w:val="22"/>
          <w:szCs w:val="22"/>
          <w:lang w:val="pt-BR"/>
        </w:rPr>
      </w:pPr>
    </w:p>
    <w:p w:rsidR="001E658A" w:rsidRPr="00AA0878" w:rsidRDefault="00AA0878" w:rsidP="001E658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AA0878">
        <w:rPr>
          <w:rFonts w:ascii="Arial" w:hAnsi="Arial" w:cs="Arial"/>
          <w:b/>
          <w:sz w:val="22"/>
        </w:rPr>
        <w:t>DATOS DE LA</w:t>
      </w:r>
      <w:r w:rsidR="00B934E0">
        <w:rPr>
          <w:rFonts w:ascii="Arial" w:hAnsi="Arial" w:cs="Arial"/>
          <w:b/>
          <w:sz w:val="22"/>
        </w:rPr>
        <w:t>S</w:t>
      </w:r>
      <w:r w:rsidRPr="00AA0878">
        <w:rPr>
          <w:rFonts w:ascii="Arial" w:hAnsi="Arial" w:cs="Arial"/>
          <w:b/>
          <w:sz w:val="22"/>
        </w:rPr>
        <w:t xml:space="preserve"> OFERTA</w:t>
      </w:r>
      <w:r w:rsidR="00B934E0">
        <w:rPr>
          <w:rFonts w:ascii="Arial" w:hAnsi="Arial" w:cs="Arial"/>
          <w:b/>
          <w:sz w:val="22"/>
        </w:rPr>
        <w:t>S</w:t>
      </w:r>
      <w:r w:rsidRPr="00AA0878">
        <w:rPr>
          <w:rFonts w:ascii="Arial" w:hAnsi="Arial" w:cs="Arial"/>
          <w:b/>
          <w:sz w:val="22"/>
        </w:rPr>
        <w:t xml:space="preserve"> </w:t>
      </w:r>
      <w:r w:rsidR="002070B9">
        <w:rPr>
          <w:rFonts w:ascii="Arial" w:hAnsi="Arial" w:cs="Arial"/>
          <w:b/>
          <w:sz w:val="22"/>
        </w:rPr>
        <w:t>IDENTIFICADA</w:t>
      </w:r>
      <w:r w:rsidR="00B934E0">
        <w:rPr>
          <w:rFonts w:ascii="Arial" w:hAnsi="Arial" w:cs="Arial"/>
          <w:b/>
          <w:sz w:val="22"/>
        </w:rPr>
        <w:t>S</w:t>
      </w:r>
    </w:p>
    <w:p w:rsidR="00AA0878" w:rsidRPr="00B1452D" w:rsidRDefault="00AA0878" w:rsidP="005C7996">
      <w:pPr>
        <w:pStyle w:val="Prrafodelista"/>
        <w:ind w:left="573"/>
        <w:rPr>
          <w:b/>
          <w:sz w:val="14"/>
          <w:szCs w:val="14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587"/>
        <w:gridCol w:w="1251"/>
        <w:gridCol w:w="992"/>
        <w:gridCol w:w="1134"/>
        <w:gridCol w:w="2504"/>
        <w:gridCol w:w="1130"/>
        <w:gridCol w:w="1230"/>
      </w:tblGrid>
      <w:tr w:rsidR="008B33FD" w:rsidRPr="002A6C3B" w:rsidTr="008B33FD">
        <w:trPr>
          <w:jc w:val="right"/>
        </w:trPr>
        <w:tc>
          <w:tcPr>
            <w:tcW w:w="587" w:type="dxa"/>
          </w:tcPr>
          <w:p w:rsidR="00B934E0" w:rsidRPr="002A6C3B" w:rsidRDefault="00B934E0" w:rsidP="00B934E0">
            <w:pPr>
              <w:ind w:left="213" w:hanging="213"/>
              <w:rPr>
                <w:rFonts w:ascii="Arial" w:hAnsi="Arial" w:cs="Arial"/>
                <w:b/>
                <w:sz w:val="18"/>
                <w:szCs w:val="18"/>
              </w:rPr>
            </w:pPr>
            <w:r w:rsidRPr="002A6C3B">
              <w:rPr>
                <w:rFonts w:ascii="Arial" w:hAnsi="Arial" w:cs="Arial"/>
                <w:b/>
                <w:sz w:val="18"/>
                <w:szCs w:val="18"/>
              </w:rPr>
              <w:t>Ítem</w:t>
            </w:r>
          </w:p>
        </w:tc>
        <w:tc>
          <w:tcPr>
            <w:tcW w:w="1251" w:type="dxa"/>
          </w:tcPr>
          <w:p w:rsidR="00B934E0" w:rsidRPr="002A6C3B" w:rsidRDefault="00B934E0" w:rsidP="008B3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992" w:type="dxa"/>
          </w:tcPr>
          <w:p w:rsidR="00B934E0" w:rsidRPr="002A6C3B" w:rsidRDefault="00B934E0" w:rsidP="00AA0878">
            <w:pPr>
              <w:ind w:left="213" w:hanging="2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C3B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134" w:type="dxa"/>
          </w:tcPr>
          <w:p w:rsidR="00B934E0" w:rsidRPr="002A6C3B" w:rsidRDefault="00B934E0" w:rsidP="00B934E0">
            <w:pPr>
              <w:ind w:left="213" w:hanging="2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C3B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2504" w:type="dxa"/>
          </w:tcPr>
          <w:p w:rsidR="00B934E0" w:rsidRPr="002A6C3B" w:rsidRDefault="00B934E0" w:rsidP="00B934E0">
            <w:pPr>
              <w:ind w:left="213" w:hanging="1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C3B">
              <w:rPr>
                <w:rFonts w:ascii="Arial" w:hAnsi="Arial" w:cs="Arial"/>
                <w:b/>
                <w:sz w:val="18"/>
                <w:szCs w:val="18"/>
              </w:rPr>
              <w:t>Descripción de los Bienes</w:t>
            </w:r>
          </w:p>
        </w:tc>
        <w:tc>
          <w:tcPr>
            <w:tcW w:w="1130" w:type="dxa"/>
          </w:tcPr>
          <w:p w:rsidR="00B934E0" w:rsidRDefault="00B934E0" w:rsidP="00AA0878">
            <w:pPr>
              <w:ind w:lef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Precio unitario</w:t>
            </w:r>
          </w:p>
          <w:p w:rsidR="00B934E0" w:rsidRPr="002A6C3B" w:rsidRDefault="00B934E0" w:rsidP="00AA0878">
            <w:pPr>
              <w:ind w:lef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(Bs.)</w:t>
            </w:r>
          </w:p>
        </w:tc>
        <w:tc>
          <w:tcPr>
            <w:tcW w:w="1230" w:type="dxa"/>
          </w:tcPr>
          <w:p w:rsidR="00B934E0" w:rsidRDefault="00B934E0" w:rsidP="00AA0878">
            <w:pPr>
              <w:ind w:lef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Precio Total</w:t>
            </w:r>
          </w:p>
          <w:p w:rsidR="00B934E0" w:rsidRPr="002A6C3B" w:rsidRDefault="00B934E0" w:rsidP="00AA0878">
            <w:pPr>
              <w:ind w:lef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(Bs.)</w:t>
            </w:r>
          </w:p>
        </w:tc>
      </w:tr>
      <w:tr w:rsidR="008B33FD" w:rsidRPr="00AA0878" w:rsidTr="008B33FD">
        <w:trPr>
          <w:jc w:val="right"/>
        </w:trPr>
        <w:tc>
          <w:tcPr>
            <w:tcW w:w="587" w:type="dxa"/>
            <w:vAlign w:val="center"/>
          </w:tcPr>
          <w:p w:rsidR="008B33FD" w:rsidRPr="00AA0878" w:rsidRDefault="008B33FD" w:rsidP="008B33FD">
            <w:pPr>
              <w:ind w:left="213" w:hanging="1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8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1" w:type="dxa"/>
            <w:vMerge w:val="restart"/>
            <w:vAlign w:val="center"/>
          </w:tcPr>
          <w:p w:rsidR="008B33FD" w:rsidRDefault="008B33FD" w:rsidP="008B33FD">
            <w:pPr>
              <w:ind w:lef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KATHIL S.R.L.</w:t>
            </w:r>
          </w:p>
        </w:tc>
        <w:tc>
          <w:tcPr>
            <w:tcW w:w="992" w:type="dxa"/>
            <w:vAlign w:val="center"/>
          </w:tcPr>
          <w:p w:rsidR="008B33FD" w:rsidRPr="00AA0878" w:rsidRDefault="008B33FD" w:rsidP="008B33FD">
            <w:pPr>
              <w:ind w:left="213" w:hanging="17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B33FD" w:rsidRPr="00AA0878" w:rsidRDefault="008B33FD" w:rsidP="00B934E0">
            <w:pPr>
              <w:ind w:left="213" w:hanging="2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</w:t>
            </w:r>
          </w:p>
        </w:tc>
        <w:tc>
          <w:tcPr>
            <w:tcW w:w="2504" w:type="dxa"/>
            <w:vAlign w:val="center"/>
          </w:tcPr>
          <w:p w:rsidR="008B33FD" w:rsidRPr="00AA0878" w:rsidRDefault="008B33FD" w:rsidP="008B33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Kit de mantenimiento impresoras láser marca HP modelo M606</w:t>
            </w:r>
          </w:p>
        </w:tc>
        <w:tc>
          <w:tcPr>
            <w:tcW w:w="1130" w:type="dxa"/>
            <w:vAlign w:val="center"/>
          </w:tcPr>
          <w:p w:rsidR="008B33FD" w:rsidRPr="00AA0878" w:rsidRDefault="008B33FD" w:rsidP="008B33FD">
            <w:pPr>
              <w:ind w:lef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3.816,00</w:t>
            </w:r>
          </w:p>
        </w:tc>
        <w:tc>
          <w:tcPr>
            <w:tcW w:w="1230" w:type="dxa"/>
            <w:vAlign w:val="center"/>
          </w:tcPr>
          <w:p w:rsidR="008B33FD" w:rsidRPr="00AA0878" w:rsidRDefault="008B33FD" w:rsidP="008B33FD">
            <w:pPr>
              <w:ind w:lef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15.624,00</w:t>
            </w:r>
          </w:p>
        </w:tc>
      </w:tr>
      <w:tr w:rsidR="008B33FD" w:rsidRPr="00AA0878" w:rsidTr="008B33FD">
        <w:trPr>
          <w:jc w:val="right"/>
        </w:trPr>
        <w:tc>
          <w:tcPr>
            <w:tcW w:w="587" w:type="dxa"/>
            <w:vAlign w:val="center"/>
          </w:tcPr>
          <w:p w:rsidR="008B33FD" w:rsidRPr="00AA0878" w:rsidRDefault="008B33FD" w:rsidP="008B33FD">
            <w:pPr>
              <w:ind w:left="213" w:hanging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1" w:type="dxa"/>
            <w:vMerge/>
            <w:vAlign w:val="center"/>
          </w:tcPr>
          <w:p w:rsidR="008B33FD" w:rsidRDefault="008B33FD" w:rsidP="00AA0878">
            <w:pPr>
              <w:ind w:left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33FD" w:rsidRDefault="008B33FD" w:rsidP="008B33FD">
            <w:pPr>
              <w:ind w:left="213" w:hanging="17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B33FD" w:rsidRDefault="008B33FD" w:rsidP="00B934E0">
            <w:pPr>
              <w:ind w:left="213" w:hanging="2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</w:t>
            </w:r>
          </w:p>
        </w:tc>
        <w:tc>
          <w:tcPr>
            <w:tcW w:w="2504" w:type="dxa"/>
            <w:vAlign w:val="center"/>
          </w:tcPr>
          <w:p w:rsidR="008B33FD" w:rsidRDefault="008B33FD" w:rsidP="008B33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Kit de mantenimiento impresoras láser marca HP modelo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P3015</w:t>
            </w:r>
          </w:p>
        </w:tc>
        <w:tc>
          <w:tcPr>
            <w:tcW w:w="1130" w:type="dxa"/>
            <w:vAlign w:val="center"/>
          </w:tcPr>
          <w:p w:rsidR="008B33FD" w:rsidRDefault="008B33FD" w:rsidP="008B33FD">
            <w:pPr>
              <w:ind w:lef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2.919,00</w:t>
            </w:r>
          </w:p>
        </w:tc>
        <w:tc>
          <w:tcPr>
            <w:tcW w:w="1230" w:type="dxa"/>
            <w:vAlign w:val="center"/>
          </w:tcPr>
          <w:p w:rsidR="008B33FD" w:rsidRDefault="008B33FD" w:rsidP="008B33FD">
            <w:pPr>
              <w:ind w:lef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29.190,00</w:t>
            </w:r>
          </w:p>
        </w:tc>
      </w:tr>
    </w:tbl>
    <w:p w:rsidR="001E658A" w:rsidRDefault="001E658A" w:rsidP="00AA0878">
      <w:pPr>
        <w:ind w:left="213"/>
        <w:jc w:val="center"/>
        <w:rPr>
          <w:rFonts w:ascii="Arial" w:hAnsi="Arial" w:cs="Arial"/>
          <w:b/>
          <w:szCs w:val="18"/>
        </w:rPr>
      </w:pPr>
    </w:p>
    <w:p w:rsidR="001F2495" w:rsidRPr="001F2495" w:rsidRDefault="001F2495" w:rsidP="001F2495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F2495">
        <w:rPr>
          <w:rFonts w:ascii="Arial" w:hAnsi="Arial" w:cs="Arial"/>
          <w:b/>
          <w:sz w:val="22"/>
          <w:szCs w:val="22"/>
        </w:rPr>
        <w:t xml:space="preserve">DOCUMENTACIÓN QUE DEBE PRESENTAR EL PROPONENTE SELECCIONADO PARA LA ADJUDICACIÓN DE LA CONTRATACION </w:t>
      </w:r>
    </w:p>
    <w:p w:rsidR="00A24C1E" w:rsidRPr="00A24C1E" w:rsidRDefault="00A24C1E" w:rsidP="00A24C1E">
      <w:pPr>
        <w:pStyle w:val="Prrafodelista"/>
        <w:ind w:left="573"/>
        <w:rPr>
          <w:rFonts w:ascii="Arial" w:hAnsi="Arial" w:cs="Arial"/>
          <w:sz w:val="14"/>
          <w:szCs w:val="16"/>
          <w:lang w:val="es-BO" w:eastAsia="es-BO"/>
        </w:rPr>
      </w:pPr>
    </w:p>
    <w:p w:rsidR="00A24C1E" w:rsidRPr="00E90140" w:rsidRDefault="00A24C1E" w:rsidP="00A24C1E">
      <w:pPr>
        <w:pStyle w:val="Prrafodelista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0"/>
          <w:szCs w:val="20"/>
          <w:lang w:val="es-BO" w:eastAsia="es-BO"/>
        </w:rPr>
      </w:pPr>
      <w:r w:rsidRPr="00E90140">
        <w:rPr>
          <w:rFonts w:ascii="Arial" w:hAnsi="Arial" w:cs="Arial"/>
          <w:sz w:val="20"/>
          <w:szCs w:val="20"/>
          <w:lang w:val="es-BO" w:eastAsia="es-BO"/>
        </w:rPr>
        <w:t xml:space="preserve">Certificado RUPE en original, documento que debe ser generado </w:t>
      </w:r>
      <w:r w:rsidR="00AE58E3" w:rsidRPr="00E90140">
        <w:rPr>
          <w:rFonts w:ascii="Arial" w:hAnsi="Arial" w:cs="Arial"/>
          <w:sz w:val="20"/>
          <w:szCs w:val="20"/>
          <w:lang w:val="es-BO" w:eastAsia="es-BO"/>
        </w:rPr>
        <w:t xml:space="preserve">por </w:t>
      </w:r>
      <w:r w:rsidRPr="00E90140">
        <w:rPr>
          <w:rFonts w:ascii="Arial" w:hAnsi="Arial" w:cs="Arial"/>
          <w:sz w:val="20"/>
          <w:szCs w:val="20"/>
          <w:lang w:val="es-BO" w:eastAsia="es-BO"/>
        </w:rPr>
        <w:t>el proponente, vinculando en el Sistema de Registro Único de Proveedores del Estado en la página web del SICOES (www.sicoes.gob.bo) el proceso de contratación programado por el BCB: "</w:t>
      </w:r>
      <w:r w:rsidR="008B33FD">
        <w:rPr>
          <w:rFonts w:ascii="Arial" w:hAnsi="Arial" w:cs="Arial"/>
          <w:b/>
          <w:sz w:val="20"/>
          <w:szCs w:val="20"/>
          <w:lang w:val="es-BO" w:eastAsia="es-BO"/>
        </w:rPr>
        <w:t>ADQUISICIÓN DE KIT DE MANTENIMIENTO PARA IMPRESORAS LASER</w:t>
      </w:r>
      <w:r w:rsidRPr="00E90140">
        <w:rPr>
          <w:rFonts w:ascii="Arial" w:hAnsi="Arial" w:cs="Arial"/>
          <w:sz w:val="20"/>
          <w:szCs w:val="20"/>
          <w:lang w:val="es-BO" w:eastAsia="es-BO"/>
        </w:rPr>
        <w:t>” (Contratación Menor) en el PAC de la gestión 202</w:t>
      </w:r>
      <w:r w:rsidR="006A23A0" w:rsidRPr="00E90140">
        <w:rPr>
          <w:rFonts w:ascii="Arial" w:hAnsi="Arial" w:cs="Arial"/>
          <w:sz w:val="20"/>
          <w:szCs w:val="20"/>
          <w:lang w:val="es-BO" w:eastAsia="es-BO"/>
        </w:rPr>
        <w:t>2</w:t>
      </w:r>
      <w:r w:rsidRPr="00E90140">
        <w:rPr>
          <w:rFonts w:ascii="Arial" w:hAnsi="Arial" w:cs="Arial"/>
          <w:sz w:val="20"/>
          <w:szCs w:val="20"/>
          <w:lang w:val="es-BO" w:eastAsia="es-BO"/>
        </w:rPr>
        <w:t>.</w:t>
      </w:r>
    </w:p>
    <w:p w:rsidR="00A24C1E" w:rsidRPr="00E90140" w:rsidRDefault="00A24C1E" w:rsidP="00A24C1E">
      <w:pPr>
        <w:pStyle w:val="Prrafodelista"/>
        <w:numPr>
          <w:ilvl w:val="0"/>
          <w:numId w:val="7"/>
        </w:numPr>
        <w:ind w:left="851" w:hanging="284"/>
        <w:jc w:val="both"/>
        <w:rPr>
          <w:rFonts w:ascii="Arial" w:hAnsi="Arial" w:cs="Arial"/>
          <w:b/>
          <w:sz w:val="20"/>
          <w:szCs w:val="20"/>
        </w:rPr>
      </w:pPr>
      <w:r w:rsidRPr="00E90140">
        <w:rPr>
          <w:rFonts w:ascii="Arial" w:hAnsi="Arial" w:cs="Arial"/>
          <w:sz w:val="20"/>
          <w:szCs w:val="20"/>
          <w:lang w:val="es-BO" w:eastAsia="es-BO"/>
        </w:rPr>
        <w:t>Certificados de No Adeudos al Sistema Integral de Pensiones de a</w:t>
      </w:r>
      <w:r w:rsidR="007738B5" w:rsidRPr="00E90140">
        <w:rPr>
          <w:rFonts w:ascii="Arial" w:hAnsi="Arial" w:cs="Arial"/>
          <w:sz w:val="20"/>
          <w:szCs w:val="20"/>
          <w:lang w:val="es-BO" w:eastAsia="es-BO"/>
        </w:rPr>
        <w:t>mbas AFP'S (Previsión y Futuro) a</w:t>
      </w:r>
      <w:r w:rsidRPr="00E90140">
        <w:rPr>
          <w:rFonts w:ascii="Arial" w:hAnsi="Arial" w:cs="Arial"/>
          <w:sz w:val="20"/>
          <w:szCs w:val="20"/>
          <w:lang w:val="es-BO" w:eastAsia="es-BO"/>
        </w:rPr>
        <w:t>ctualizados.</w:t>
      </w:r>
    </w:p>
    <w:p w:rsidR="007738B5" w:rsidRPr="00E90140" w:rsidRDefault="00AE58E3" w:rsidP="00A24C1E">
      <w:pPr>
        <w:pStyle w:val="Prrafodelista"/>
        <w:numPr>
          <w:ilvl w:val="0"/>
          <w:numId w:val="7"/>
        </w:numPr>
        <w:ind w:left="851" w:hanging="284"/>
        <w:jc w:val="both"/>
        <w:rPr>
          <w:rFonts w:ascii="Arial" w:hAnsi="Arial" w:cs="Arial"/>
          <w:b/>
          <w:sz w:val="20"/>
          <w:szCs w:val="20"/>
        </w:rPr>
      </w:pPr>
      <w:r w:rsidRPr="00E90140">
        <w:rPr>
          <w:rFonts w:ascii="Arial" w:hAnsi="Arial" w:cs="Arial"/>
          <w:sz w:val="20"/>
          <w:szCs w:val="20"/>
          <w:lang w:val="es-BO" w:eastAsia="es-BO"/>
        </w:rPr>
        <w:t>Número de Identificación Tributaria</w:t>
      </w:r>
    </w:p>
    <w:p w:rsidR="00E90140" w:rsidRPr="00E90140" w:rsidRDefault="00AE58E3" w:rsidP="00E90140">
      <w:pPr>
        <w:pStyle w:val="Prrafodelista"/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0"/>
          <w:szCs w:val="20"/>
          <w:lang w:val="es-BO" w:eastAsia="es-BO"/>
        </w:rPr>
      </w:pPr>
      <w:r w:rsidRPr="00E90140">
        <w:rPr>
          <w:rFonts w:ascii="Arial" w:hAnsi="Arial" w:cs="Arial"/>
          <w:sz w:val="20"/>
          <w:szCs w:val="20"/>
          <w:lang w:val="es-BO" w:eastAsia="es-BO"/>
        </w:rPr>
        <w:t xml:space="preserve">Certificado de Matrícula de Comercio otorgado por </w:t>
      </w:r>
      <w:proofErr w:type="spellStart"/>
      <w:r w:rsidRPr="00E90140">
        <w:rPr>
          <w:rFonts w:ascii="Arial" w:hAnsi="Arial" w:cs="Arial"/>
          <w:sz w:val="20"/>
          <w:szCs w:val="20"/>
          <w:lang w:val="es-BO" w:eastAsia="es-BO"/>
        </w:rPr>
        <w:t>Fundempresa</w:t>
      </w:r>
      <w:proofErr w:type="spellEnd"/>
      <w:r w:rsidRPr="00E90140">
        <w:rPr>
          <w:rFonts w:ascii="Arial" w:hAnsi="Arial" w:cs="Arial"/>
          <w:sz w:val="20"/>
          <w:szCs w:val="20"/>
          <w:lang w:val="es-BO" w:eastAsia="es-BO"/>
        </w:rPr>
        <w:t>, vigente</w:t>
      </w:r>
    </w:p>
    <w:p w:rsidR="00030504" w:rsidRDefault="00030504">
      <w:pPr>
        <w:spacing w:after="160" w:line="259" w:lineRule="auto"/>
        <w:rPr>
          <w:rFonts w:ascii="Arial" w:hAnsi="Arial" w:cs="Arial"/>
          <w:sz w:val="20"/>
          <w:szCs w:val="22"/>
          <w:lang w:val="es-BO" w:eastAsia="es-BO"/>
        </w:rPr>
      </w:pPr>
    </w:p>
    <w:p w:rsidR="00030504" w:rsidRDefault="00566CE3" w:rsidP="00B01BC8">
      <w:pPr>
        <w:spacing w:after="160" w:line="259" w:lineRule="auto"/>
        <w:jc w:val="center"/>
        <w:rPr>
          <w:noProof/>
          <w:lang w:val="es-BO" w:eastAsia="es-BO"/>
        </w:rPr>
      </w:pPr>
      <w:r>
        <w:rPr>
          <w:noProof/>
          <w:lang w:val="es-BO" w:eastAsia="es-BO"/>
        </w:rPr>
        <w:lastRenderedPageBreak/>
        <w:drawing>
          <wp:inline distT="0" distB="0" distL="0" distR="0" wp14:anchorId="41086C28" wp14:editId="7D31FB7B">
            <wp:extent cx="5540302" cy="59817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212" r="30239" b="24081"/>
                    <a:stretch/>
                  </pic:blipFill>
                  <pic:spPr bwMode="auto">
                    <a:xfrm>
                      <a:off x="0" y="0"/>
                      <a:ext cx="5572165" cy="601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578" w:rsidRDefault="00574578" w:rsidP="00B01BC8">
      <w:pPr>
        <w:spacing w:after="160" w:line="259" w:lineRule="auto"/>
        <w:jc w:val="center"/>
        <w:rPr>
          <w:noProof/>
          <w:lang w:val="es-BO" w:eastAsia="es-BO"/>
        </w:rPr>
      </w:pPr>
    </w:p>
    <w:p w:rsidR="00574578" w:rsidRDefault="00574578" w:rsidP="00B01BC8">
      <w:pPr>
        <w:spacing w:after="160" w:line="259" w:lineRule="auto"/>
        <w:jc w:val="center"/>
        <w:rPr>
          <w:rFonts w:ascii="Arial" w:hAnsi="Arial" w:cs="Arial"/>
          <w:sz w:val="20"/>
          <w:szCs w:val="22"/>
          <w:lang w:val="es-BO" w:eastAsia="es-BO"/>
        </w:rPr>
      </w:pPr>
    </w:p>
    <w:p w:rsidR="00A24C1E" w:rsidRPr="00940E50" w:rsidRDefault="00566CE3" w:rsidP="00940E50">
      <w:pPr>
        <w:spacing w:after="160" w:line="259" w:lineRule="auto"/>
        <w:rPr>
          <w:rFonts w:ascii="Arial" w:hAnsi="Arial" w:cs="Arial"/>
          <w:sz w:val="20"/>
          <w:szCs w:val="22"/>
          <w:lang w:val="es-BO" w:eastAsia="es-BO"/>
        </w:rPr>
      </w:pPr>
      <w:r>
        <w:rPr>
          <w:rFonts w:ascii="Arial" w:hAnsi="Arial" w:cs="Arial"/>
          <w:sz w:val="20"/>
          <w:szCs w:val="22"/>
          <w:lang w:val="es-BO" w:eastAsia="es-BO"/>
        </w:rPr>
        <w:t>KEME</w:t>
      </w:r>
      <w:r w:rsidR="00030504">
        <w:rPr>
          <w:rFonts w:ascii="Arial" w:hAnsi="Arial" w:cs="Arial"/>
          <w:sz w:val="20"/>
          <w:szCs w:val="22"/>
          <w:lang w:val="es-BO" w:eastAsia="es-BO"/>
        </w:rPr>
        <w:t>/</w:t>
      </w:r>
      <w:r w:rsidR="00B248A1">
        <w:rPr>
          <w:rFonts w:ascii="Arial" w:hAnsi="Arial" w:cs="Arial"/>
          <w:sz w:val="20"/>
          <w:szCs w:val="22"/>
          <w:lang w:val="es-BO" w:eastAsia="es-BO"/>
        </w:rPr>
        <w:t>APMC/</w:t>
      </w:r>
      <w:r w:rsidR="00030504">
        <w:rPr>
          <w:rFonts w:ascii="Arial" w:hAnsi="Arial" w:cs="Arial"/>
          <w:sz w:val="20"/>
          <w:szCs w:val="22"/>
          <w:lang w:val="es-BO" w:eastAsia="es-BO"/>
        </w:rPr>
        <w:t>OAS</w:t>
      </w:r>
    </w:p>
    <w:sectPr w:rsidR="00A24C1E" w:rsidRPr="00940E50" w:rsidSect="00B01BC8">
      <w:headerReference w:type="default" r:id="rId8"/>
      <w:footerReference w:type="default" r:id="rId9"/>
      <w:pgSz w:w="12240" w:h="15840" w:code="1"/>
      <w:pgMar w:top="1417" w:right="1701" w:bottom="1417" w:left="1701" w:header="708" w:footer="1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D3" w:rsidRDefault="007A3ED3" w:rsidP="001E658A">
      <w:r>
        <w:separator/>
      </w:r>
    </w:p>
  </w:endnote>
  <w:endnote w:type="continuationSeparator" w:id="0">
    <w:p w:rsidR="007A3ED3" w:rsidRDefault="007A3ED3" w:rsidP="001E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8A" w:rsidRDefault="00B01BC8" w:rsidP="001E658A">
    <w:pPr>
      <w:pStyle w:val="Piedepgina"/>
      <w:jc w:val="center"/>
    </w:pPr>
    <w:r>
      <w:rPr>
        <w:rFonts w:ascii="Arial" w:hAnsi="Arial"/>
        <w:b/>
        <w:noProof/>
        <w:sz w:val="12"/>
        <w:lang w:val="es-BO" w:eastAsia="es-BO"/>
      </w:rPr>
      <w:drawing>
        <wp:anchor distT="0" distB="0" distL="114300" distR="114300" simplePos="0" relativeHeight="251665408" behindDoc="1" locked="0" layoutInCell="1" allowOverlap="1" wp14:anchorId="319EE363" wp14:editId="37860F6D">
          <wp:simplePos x="0" y="0"/>
          <wp:positionH relativeFrom="margin">
            <wp:posOffset>-151075</wp:posOffset>
          </wp:positionH>
          <wp:positionV relativeFrom="paragraph">
            <wp:posOffset>372414</wp:posOffset>
          </wp:positionV>
          <wp:extent cx="6438265" cy="333375"/>
          <wp:effectExtent l="0" t="0" r="635" b="9525"/>
          <wp:wrapTight wrapText="bothSides">
            <wp:wrapPolygon edited="0">
              <wp:start x="0" y="0"/>
              <wp:lineTo x="0" y="20983"/>
              <wp:lineTo x="21538" y="20983"/>
              <wp:lineTo x="21538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825500</wp:posOffset>
          </wp:positionH>
          <wp:positionV relativeFrom="paragraph">
            <wp:posOffset>9432925</wp:posOffset>
          </wp:positionV>
          <wp:extent cx="6438265" cy="333375"/>
          <wp:effectExtent l="0" t="0" r="635" b="9525"/>
          <wp:wrapTight wrapText="bothSides">
            <wp:wrapPolygon edited="0">
              <wp:start x="0" y="0"/>
              <wp:lineTo x="0" y="20983"/>
              <wp:lineTo x="21538" y="20983"/>
              <wp:lineTo x="21538" y="0"/>
              <wp:lineTo x="0" y="0"/>
            </wp:wrapPolygon>
          </wp:wrapTight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825500</wp:posOffset>
          </wp:positionH>
          <wp:positionV relativeFrom="paragraph">
            <wp:posOffset>9432925</wp:posOffset>
          </wp:positionV>
          <wp:extent cx="6438265" cy="333375"/>
          <wp:effectExtent l="0" t="0" r="635" b="9525"/>
          <wp:wrapTight wrapText="bothSides">
            <wp:wrapPolygon edited="0">
              <wp:start x="0" y="0"/>
              <wp:lineTo x="0" y="20983"/>
              <wp:lineTo x="21538" y="20983"/>
              <wp:lineTo x="21538" y="0"/>
              <wp:lineTo x="0" y="0"/>
            </wp:wrapPolygon>
          </wp:wrapTight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D3" w:rsidRDefault="007A3ED3" w:rsidP="001E658A">
      <w:r>
        <w:separator/>
      </w:r>
    </w:p>
  </w:footnote>
  <w:footnote w:type="continuationSeparator" w:id="0">
    <w:p w:rsidR="007A3ED3" w:rsidRDefault="007A3ED3" w:rsidP="001E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8A" w:rsidRDefault="00B01BC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-354468</wp:posOffset>
          </wp:positionV>
          <wp:extent cx="7752715" cy="1257935"/>
          <wp:effectExtent l="0" t="0" r="635" b="0"/>
          <wp:wrapSquare wrapText="bothSides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14C"/>
    <w:multiLevelType w:val="hybridMultilevel"/>
    <w:tmpl w:val="6D721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14AC8"/>
    <w:multiLevelType w:val="hybridMultilevel"/>
    <w:tmpl w:val="B6D0CC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1DC8"/>
    <w:multiLevelType w:val="hybridMultilevel"/>
    <w:tmpl w:val="95ECE8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DC1226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03D6A"/>
    <w:multiLevelType w:val="hybridMultilevel"/>
    <w:tmpl w:val="7346DA3C"/>
    <w:lvl w:ilvl="0" w:tplc="0C0A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E346830"/>
    <w:multiLevelType w:val="hybridMultilevel"/>
    <w:tmpl w:val="900A35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1418A"/>
    <w:multiLevelType w:val="hybridMultilevel"/>
    <w:tmpl w:val="208CF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DC1226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D4D6A"/>
    <w:multiLevelType w:val="hybridMultilevel"/>
    <w:tmpl w:val="5282A2CC"/>
    <w:lvl w:ilvl="0" w:tplc="D5EAFC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7058D"/>
    <w:multiLevelType w:val="hybridMultilevel"/>
    <w:tmpl w:val="306CF0AC"/>
    <w:lvl w:ilvl="0" w:tplc="400A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8" w15:restartNumberingAfterBreak="0">
    <w:nsid w:val="2E6510CD"/>
    <w:multiLevelType w:val="hybridMultilevel"/>
    <w:tmpl w:val="82C42C88"/>
    <w:lvl w:ilvl="0" w:tplc="400A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9" w15:restartNumberingAfterBreak="0">
    <w:nsid w:val="3AF22393"/>
    <w:multiLevelType w:val="hybridMultilevel"/>
    <w:tmpl w:val="F8428332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048E9"/>
    <w:multiLevelType w:val="hybridMultilevel"/>
    <w:tmpl w:val="D68086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852FB"/>
    <w:multiLevelType w:val="hybridMultilevel"/>
    <w:tmpl w:val="86B2EF3E"/>
    <w:lvl w:ilvl="0" w:tplc="CB1EC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61447"/>
    <w:multiLevelType w:val="hybridMultilevel"/>
    <w:tmpl w:val="A6C2DB3E"/>
    <w:lvl w:ilvl="0" w:tplc="F4C276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6F534B"/>
    <w:multiLevelType w:val="hybridMultilevel"/>
    <w:tmpl w:val="C6065BF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10B0"/>
    <w:multiLevelType w:val="hybridMultilevel"/>
    <w:tmpl w:val="DBAE532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24C03"/>
    <w:multiLevelType w:val="hybridMultilevel"/>
    <w:tmpl w:val="AD728D8A"/>
    <w:lvl w:ilvl="0" w:tplc="40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486B7120"/>
    <w:multiLevelType w:val="hybridMultilevel"/>
    <w:tmpl w:val="625C006C"/>
    <w:lvl w:ilvl="0" w:tplc="40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8CA28F5"/>
    <w:multiLevelType w:val="hybridMultilevel"/>
    <w:tmpl w:val="FC70E8AA"/>
    <w:lvl w:ilvl="0" w:tplc="40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421B18"/>
    <w:multiLevelType w:val="hybridMultilevel"/>
    <w:tmpl w:val="5A886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A26C9"/>
    <w:multiLevelType w:val="hybridMultilevel"/>
    <w:tmpl w:val="3ED86DC2"/>
    <w:lvl w:ilvl="0" w:tplc="40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322647D"/>
    <w:multiLevelType w:val="hybridMultilevel"/>
    <w:tmpl w:val="B4989D90"/>
    <w:lvl w:ilvl="0" w:tplc="400A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1" w15:restartNumberingAfterBreak="0">
    <w:nsid w:val="670032A2"/>
    <w:multiLevelType w:val="hybridMultilevel"/>
    <w:tmpl w:val="E1E8446A"/>
    <w:lvl w:ilvl="0" w:tplc="96629F3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5B61D0"/>
    <w:multiLevelType w:val="hybridMultilevel"/>
    <w:tmpl w:val="5282A2CC"/>
    <w:lvl w:ilvl="0" w:tplc="D5EAFC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F2038C"/>
    <w:multiLevelType w:val="hybridMultilevel"/>
    <w:tmpl w:val="5282A2CC"/>
    <w:lvl w:ilvl="0" w:tplc="D5EAFC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336E7"/>
    <w:multiLevelType w:val="hybridMultilevel"/>
    <w:tmpl w:val="577E0F94"/>
    <w:lvl w:ilvl="0" w:tplc="0D9C8B52">
      <w:start w:val="1"/>
      <w:numFmt w:val="decimal"/>
      <w:lvlText w:val="%1."/>
      <w:lvlJc w:val="left"/>
      <w:pPr>
        <w:ind w:left="573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293" w:hanging="360"/>
      </w:pPr>
    </w:lvl>
    <w:lvl w:ilvl="2" w:tplc="400A001B" w:tentative="1">
      <w:start w:val="1"/>
      <w:numFmt w:val="lowerRoman"/>
      <w:lvlText w:val="%3."/>
      <w:lvlJc w:val="right"/>
      <w:pPr>
        <w:ind w:left="2013" w:hanging="180"/>
      </w:pPr>
    </w:lvl>
    <w:lvl w:ilvl="3" w:tplc="400A000F" w:tentative="1">
      <w:start w:val="1"/>
      <w:numFmt w:val="decimal"/>
      <w:lvlText w:val="%4."/>
      <w:lvlJc w:val="left"/>
      <w:pPr>
        <w:ind w:left="2733" w:hanging="360"/>
      </w:pPr>
    </w:lvl>
    <w:lvl w:ilvl="4" w:tplc="400A0019" w:tentative="1">
      <w:start w:val="1"/>
      <w:numFmt w:val="lowerLetter"/>
      <w:lvlText w:val="%5."/>
      <w:lvlJc w:val="left"/>
      <w:pPr>
        <w:ind w:left="3453" w:hanging="360"/>
      </w:pPr>
    </w:lvl>
    <w:lvl w:ilvl="5" w:tplc="400A001B" w:tentative="1">
      <w:start w:val="1"/>
      <w:numFmt w:val="lowerRoman"/>
      <w:lvlText w:val="%6."/>
      <w:lvlJc w:val="right"/>
      <w:pPr>
        <w:ind w:left="4173" w:hanging="180"/>
      </w:pPr>
    </w:lvl>
    <w:lvl w:ilvl="6" w:tplc="400A000F" w:tentative="1">
      <w:start w:val="1"/>
      <w:numFmt w:val="decimal"/>
      <w:lvlText w:val="%7."/>
      <w:lvlJc w:val="left"/>
      <w:pPr>
        <w:ind w:left="4893" w:hanging="360"/>
      </w:pPr>
    </w:lvl>
    <w:lvl w:ilvl="7" w:tplc="400A0019" w:tentative="1">
      <w:start w:val="1"/>
      <w:numFmt w:val="lowerLetter"/>
      <w:lvlText w:val="%8."/>
      <w:lvlJc w:val="left"/>
      <w:pPr>
        <w:ind w:left="5613" w:hanging="360"/>
      </w:pPr>
    </w:lvl>
    <w:lvl w:ilvl="8" w:tplc="40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5" w15:restartNumberingAfterBreak="0">
    <w:nsid w:val="79C84D7A"/>
    <w:multiLevelType w:val="hybridMultilevel"/>
    <w:tmpl w:val="10A025B6"/>
    <w:lvl w:ilvl="0" w:tplc="DC12262E">
      <w:start w:val="1"/>
      <w:numFmt w:val="bullet"/>
      <w:lvlText w:val="-"/>
      <w:lvlJc w:val="left"/>
      <w:pPr>
        <w:ind w:left="783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7D3402D4"/>
    <w:multiLevelType w:val="hybridMultilevel"/>
    <w:tmpl w:val="5D96B0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</w:num>
  <w:num w:numId="4">
    <w:abstractNumId w:val="24"/>
  </w:num>
  <w:num w:numId="5">
    <w:abstractNumId w:val="20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21"/>
  </w:num>
  <w:num w:numId="11">
    <w:abstractNumId w:val="22"/>
  </w:num>
  <w:num w:numId="12">
    <w:abstractNumId w:val="6"/>
  </w:num>
  <w:num w:numId="13">
    <w:abstractNumId w:val="4"/>
  </w:num>
  <w:num w:numId="14">
    <w:abstractNumId w:val="18"/>
  </w:num>
  <w:num w:numId="15">
    <w:abstractNumId w:val="23"/>
  </w:num>
  <w:num w:numId="16">
    <w:abstractNumId w:val="17"/>
  </w:num>
  <w:num w:numId="17">
    <w:abstractNumId w:val="26"/>
  </w:num>
  <w:num w:numId="18">
    <w:abstractNumId w:val="9"/>
  </w:num>
  <w:num w:numId="19">
    <w:abstractNumId w:val="2"/>
  </w:num>
  <w:num w:numId="20">
    <w:abstractNumId w:val="19"/>
  </w:num>
  <w:num w:numId="21">
    <w:abstractNumId w:val="14"/>
  </w:num>
  <w:num w:numId="22">
    <w:abstractNumId w:val="5"/>
  </w:num>
  <w:num w:numId="23">
    <w:abstractNumId w:val="25"/>
  </w:num>
  <w:num w:numId="24">
    <w:abstractNumId w:val="13"/>
  </w:num>
  <w:num w:numId="25">
    <w:abstractNumId w:val="1"/>
  </w:num>
  <w:num w:numId="26">
    <w:abstractNumId w:val="16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89"/>
    <w:rsid w:val="000304DA"/>
    <w:rsid w:val="00030504"/>
    <w:rsid w:val="00075558"/>
    <w:rsid w:val="000E01A8"/>
    <w:rsid w:val="00120120"/>
    <w:rsid w:val="00146870"/>
    <w:rsid w:val="0014727B"/>
    <w:rsid w:val="001923E1"/>
    <w:rsid w:val="001D4E89"/>
    <w:rsid w:val="001E658A"/>
    <w:rsid w:val="001E7F05"/>
    <w:rsid w:val="001F2495"/>
    <w:rsid w:val="002070B9"/>
    <w:rsid w:val="0023361F"/>
    <w:rsid w:val="00253EF4"/>
    <w:rsid w:val="002A6C3B"/>
    <w:rsid w:val="002F3A6F"/>
    <w:rsid w:val="00312E41"/>
    <w:rsid w:val="00315218"/>
    <w:rsid w:val="00355715"/>
    <w:rsid w:val="00445C74"/>
    <w:rsid w:val="00446D16"/>
    <w:rsid w:val="00534798"/>
    <w:rsid w:val="00566CE3"/>
    <w:rsid w:val="00574578"/>
    <w:rsid w:val="005A416E"/>
    <w:rsid w:val="005B042C"/>
    <w:rsid w:val="005C523B"/>
    <w:rsid w:val="005C7996"/>
    <w:rsid w:val="00627CAE"/>
    <w:rsid w:val="00652EBA"/>
    <w:rsid w:val="006A23A0"/>
    <w:rsid w:val="00714040"/>
    <w:rsid w:val="007738B5"/>
    <w:rsid w:val="007A3ED3"/>
    <w:rsid w:val="007D03A6"/>
    <w:rsid w:val="00852DF8"/>
    <w:rsid w:val="008B33FD"/>
    <w:rsid w:val="00940E50"/>
    <w:rsid w:val="009F6FCC"/>
    <w:rsid w:val="00A03954"/>
    <w:rsid w:val="00A24C1E"/>
    <w:rsid w:val="00A25EF3"/>
    <w:rsid w:val="00A872D0"/>
    <w:rsid w:val="00AA0878"/>
    <w:rsid w:val="00AD56D3"/>
    <w:rsid w:val="00AE58E3"/>
    <w:rsid w:val="00AF5803"/>
    <w:rsid w:val="00B01BC8"/>
    <w:rsid w:val="00B1452D"/>
    <w:rsid w:val="00B248A1"/>
    <w:rsid w:val="00B8082B"/>
    <w:rsid w:val="00B934E0"/>
    <w:rsid w:val="00C247A6"/>
    <w:rsid w:val="00D63CC1"/>
    <w:rsid w:val="00E36528"/>
    <w:rsid w:val="00E90140"/>
    <w:rsid w:val="00F3046B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CC1FD-86BB-4F7A-BA25-21BFFEF4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248A1"/>
    <w:pPr>
      <w:keepNext/>
      <w:tabs>
        <w:tab w:val="num" w:pos="360"/>
      </w:tabs>
      <w:ind w:left="360" w:hanging="360"/>
      <w:jc w:val="both"/>
      <w:outlineLvl w:val="2"/>
    </w:pPr>
    <w:rPr>
      <w:rFonts w:ascii="Arial" w:hAnsi="Arial" w:cs="Arial"/>
      <w:b/>
      <w:sz w:val="18"/>
      <w:szCs w:val="22"/>
      <w:lang w:val="es-BO" w:eastAsia="es-BO"/>
    </w:rPr>
  </w:style>
  <w:style w:type="paragraph" w:styleId="Ttulo5">
    <w:name w:val="heading 5"/>
    <w:basedOn w:val="Normal"/>
    <w:next w:val="Normal"/>
    <w:link w:val="Ttulo5Car"/>
    <w:qFormat/>
    <w:rsid w:val="00B248A1"/>
    <w:pPr>
      <w:keepNext/>
      <w:jc w:val="both"/>
      <w:outlineLvl w:val="4"/>
    </w:pPr>
    <w:rPr>
      <w:rFonts w:ascii="Arial" w:hAnsi="Arial" w:cs="Arial"/>
      <w:b/>
      <w:sz w:val="20"/>
      <w:szCs w:val="22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1D4E89"/>
    <w:pPr>
      <w:ind w:left="720"/>
      <w:contextualSpacing/>
    </w:p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1D4E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D4E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E65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E65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E65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5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96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248A1"/>
    <w:rPr>
      <w:rFonts w:ascii="Arial" w:eastAsia="Times New Roman" w:hAnsi="Arial" w:cs="Arial"/>
      <w:b/>
      <w:sz w:val="18"/>
      <w:lang w:eastAsia="es-BO"/>
    </w:rPr>
  </w:style>
  <w:style w:type="character" w:customStyle="1" w:styleId="Ttulo5Car">
    <w:name w:val="Título 5 Car"/>
    <w:basedOn w:val="Fuentedeprrafopredeter"/>
    <w:link w:val="Ttulo5"/>
    <w:rsid w:val="00B248A1"/>
    <w:rPr>
      <w:rFonts w:ascii="Arial" w:eastAsia="Times New Roman" w:hAnsi="Arial" w:cs="Arial"/>
      <w:b/>
      <w:sz w:val="20"/>
      <w:lang w:eastAsia="es-BO"/>
    </w:rPr>
  </w:style>
  <w:style w:type="paragraph" w:styleId="Textoindependiente3">
    <w:name w:val="Body Text 3"/>
    <w:basedOn w:val="Normal"/>
    <w:link w:val="Textoindependiente3Car"/>
    <w:semiHidden/>
    <w:rsid w:val="00B248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248A1"/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Default">
    <w:name w:val="Default"/>
    <w:rsid w:val="00B24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Silva Velarde Oscar</cp:lastModifiedBy>
  <cp:revision>4</cp:revision>
  <cp:lastPrinted>2022-05-18T20:22:00Z</cp:lastPrinted>
  <dcterms:created xsi:type="dcterms:W3CDTF">2022-03-03T21:32:00Z</dcterms:created>
  <dcterms:modified xsi:type="dcterms:W3CDTF">2022-05-18T21:44:00Z</dcterms:modified>
</cp:coreProperties>
</file>