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359615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A3F7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41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A3F7D" w:rsidRPr="009956C4" w:rsidTr="00DD2C9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3F7D" w:rsidRPr="009956C4" w:rsidRDefault="003A3F7D" w:rsidP="003A3F7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3A3F7D" w:rsidRPr="0054356D" w:rsidTr="00DD2C9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54356D" w:rsidRDefault="003A3F7D" w:rsidP="00DD2C97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3A3F7D" w:rsidRPr="009956C4" w:rsidTr="00DD2C9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</w:tr>
      <w:tr w:rsidR="003A3F7D" w:rsidRPr="0054356D" w:rsidTr="00DD2C9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</w:tr>
      <w:tr w:rsidR="003A3F7D" w:rsidRPr="009956C4" w:rsidTr="00DD2C9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41/2023–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2"/>
              </w:rPr>
            </w:pPr>
          </w:p>
        </w:tc>
      </w:tr>
      <w:tr w:rsidR="003A3F7D" w:rsidRPr="00A93AB0" w:rsidTr="00DD2C9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A93AB0" w:rsidRDefault="003A3F7D" w:rsidP="00DD2C97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53"/>
        <w:gridCol w:w="259"/>
      </w:tblGrid>
      <w:tr w:rsidR="003A3F7D" w:rsidRPr="00A93AB0" w:rsidTr="00DD2C97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3F7D" w:rsidRPr="00A93AB0" w:rsidRDefault="003A3F7D" w:rsidP="00DD2C9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A93AB0" w:rsidRDefault="003A3F7D" w:rsidP="00DD2C9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A3F7D" w:rsidRPr="002662F5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  <w:tr w:rsidR="003A3F7D" w:rsidRPr="00A93AB0" w:rsidTr="00DD2C97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A93AB0" w:rsidRDefault="003A3F7D" w:rsidP="00DD2C97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3AB0" w:rsidRDefault="003A3F7D" w:rsidP="00DD2C9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IMPRESORAS DE MEDIANO TRAFICO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A93AB0" w:rsidRDefault="003A3F7D" w:rsidP="00DD2C97">
            <w:pPr>
              <w:rPr>
                <w:rFonts w:ascii="Arial" w:hAnsi="Arial" w:cs="Arial"/>
              </w:rPr>
            </w:pPr>
          </w:p>
        </w:tc>
      </w:tr>
      <w:tr w:rsidR="003A3F7D" w:rsidRPr="0054356D" w:rsidTr="00DD2C97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54356D" w:rsidRDefault="003A3F7D" w:rsidP="00DD2C9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4"/>
              </w:rPr>
            </w:pPr>
          </w:p>
        </w:tc>
      </w:tr>
      <w:tr w:rsidR="003A3F7D" w:rsidRPr="009956C4" w:rsidTr="00DD2C97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507C36" w:rsidRDefault="003A3F7D" w:rsidP="00DD2C9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3A3F7D" w:rsidRPr="00507C36" w:rsidRDefault="003A3F7D" w:rsidP="00DD2C97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3F7D" w:rsidRPr="009956C4" w:rsidTr="00DD2C97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A3F7D" w:rsidRPr="009956C4" w:rsidTr="00DD2C97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3F7D" w:rsidRPr="002662F5" w:rsidTr="00DD2C97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  <w:tr w:rsidR="003A3F7D" w:rsidRPr="009956C4" w:rsidTr="00DD2C97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507C36" w:rsidRDefault="003A3F7D" w:rsidP="00DD2C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507C36" w:rsidRDefault="003A3F7D" w:rsidP="00DD2C97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54356D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54356D" w:rsidRDefault="003A3F7D" w:rsidP="00DD2C9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54356D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Bs153.400,00 (Ciento cincuenta y tres mil cuatrocientos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2662F5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  <w:tr w:rsidR="003A3F7D" w:rsidRPr="009956C4" w:rsidTr="00DD2C97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507C36" w:rsidRDefault="003A3F7D" w:rsidP="00DD2C9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3A3F7D" w:rsidRPr="00507C36" w:rsidRDefault="003A3F7D" w:rsidP="00DD2C97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3A3F7D" w:rsidRPr="002662F5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4E5E52" w:rsidRDefault="003A3F7D" w:rsidP="00DD2C97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</w:rPr>
              <w:t xml:space="preserve">El proveedor deberá realizar la entrega del bien sujeta a verificación en un plazo de hasta 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noventa </w:t>
            </w:r>
            <w:r w:rsidRPr="00327E0C">
              <w:rPr>
                <w:rFonts w:ascii="Arial" w:hAnsi="Arial" w:cs="Arial"/>
                <w:bCs/>
                <w:iCs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Cs w:val="22"/>
              </w:rPr>
              <w:t>90</w:t>
            </w:r>
            <w:r w:rsidRPr="00327E0C">
              <w:rPr>
                <w:rFonts w:ascii="Arial" w:hAnsi="Arial" w:cs="Arial"/>
                <w:bCs/>
                <w:iCs/>
                <w:szCs w:val="22"/>
              </w:rPr>
              <w:t>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2662F5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3A3F7D" w:rsidRPr="00507C36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032BE" w:rsidRDefault="003A3F7D" w:rsidP="00DD2C97">
            <w:pPr>
              <w:jc w:val="both"/>
              <w:rPr>
                <w:rFonts w:ascii="Arial" w:hAnsi="Arial" w:cs="Arial"/>
                <w:b/>
                <w:i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4C1D54" w:rsidRDefault="003A3F7D" w:rsidP="00DD2C97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C1D54">
              <w:rPr>
                <w:rFonts w:ascii="Arial" w:hAnsi="Arial" w:cs="Arial"/>
                <w:bCs/>
                <w:iCs/>
                <w:szCs w:val="22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2662F5" w:rsidTr="00DD2C97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4C1D54" w:rsidRDefault="003A3F7D" w:rsidP="00DD2C97">
            <w:pPr>
              <w:rPr>
                <w:rFonts w:ascii="Arial" w:hAnsi="Arial" w:cs="Arial"/>
                <w:bCs/>
                <w:iCs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A3F7D" w:rsidRPr="009956C4" w:rsidTr="00DD2C9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507C36" w:rsidRDefault="003A3F7D" w:rsidP="00DD2C97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A3F7D" w:rsidRPr="00507C36" w:rsidRDefault="003A3F7D" w:rsidP="00DD2C97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3A3F7D" w:rsidRPr="009956C4" w:rsidTr="00DD2C97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3A3F7D" w:rsidRPr="009956C4" w:rsidRDefault="003A3F7D" w:rsidP="00DD2C9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4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3F7D" w:rsidRPr="009956C4" w:rsidTr="00DD2C97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3F7D" w:rsidRPr="009956C4" w:rsidRDefault="003A3F7D" w:rsidP="003A3F7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3F7D" w:rsidRPr="009956C4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A3F7D" w:rsidRPr="009956C4" w:rsidTr="00DD2C97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Fernando Chacón Rodriguez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</w:tr>
      <w:tr w:rsidR="003A3F7D" w:rsidRPr="009956C4" w:rsidTr="00DD2C97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2B98" w:rsidRDefault="003A3F7D" w:rsidP="00DD2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Ramirez Luna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F7D" w:rsidRPr="00A92B98" w:rsidRDefault="003A3F7D" w:rsidP="00DD2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2B98" w:rsidRDefault="003A3F7D" w:rsidP="00DD2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Soporte Senior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3A3F7D" w:rsidRPr="00A92B98" w:rsidRDefault="003A3F7D" w:rsidP="00DD2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92B98" w:rsidRDefault="003A3F7D" w:rsidP="00DD2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</w:tr>
      <w:tr w:rsidR="003A3F7D" w:rsidRPr="002662F5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2662F5" w:rsidRDefault="003A3F7D" w:rsidP="00DD2C97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2662F5" w:rsidRDefault="003A3F7D" w:rsidP="00DD2C97">
            <w:pPr>
              <w:rPr>
                <w:rFonts w:ascii="Arial" w:hAnsi="Arial" w:cs="Arial"/>
                <w:sz w:val="6"/>
              </w:rPr>
            </w:pPr>
          </w:p>
        </w:tc>
      </w:tr>
      <w:tr w:rsidR="003A3F7D" w:rsidRPr="009956C4" w:rsidTr="00DD2C97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Default="003A3F7D" w:rsidP="00DD2C97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</w:t>
            </w:r>
          </w:p>
          <w:p w:rsidR="003A3F7D" w:rsidRPr="00A92B98" w:rsidRDefault="003A3F7D" w:rsidP="00DD2C97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19</w:t>
            </w:r>
            <w:r w:rsidRPr="00A92B98">
              <w:rPr>
                <w:rFonts w:ascii="Arial" w:hAnsi="Arial" w:cs="Arial"/>
              </w:rPr>
              <w:t xml:space="preserve"> (</w:t>
            </w:r>
            <w:r w:rsidRPr="00F802D9">
              <w:rPr>
                <w:rFonts w:ascii="Arial" w:hAnsi="Arial" w:cs="Arial"/>
                <w:sz w:val="14"/>
                <w:szCs w:val="14"/>
              </w:rPr>
              <w:t>Consultas Administrativas</w:t>
            </w:r>
            <w:r w:rsidRPr="00A92B98">
              <w:rPr>
                <w:rFonts w:ascii="Arial" w:hAnsi="Arial" w:cs="Arial"/>
              </w:rPr>
              <w:t xml:space="preserve">) </w:t>
            </w:r>
          </w:p>
          <w:p w:rsidR="003A3F7D" w:rsidRPr="00A92B98" w:rsidRDefault="003A3F7D" w:rsidP="00DD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  <w:r w:rsidRPr="00A92B98">
              <w:rPr>
                <w:rFonts w:ascii="Arial" w:hAnsi="Arial" w:cs="Arial"/>
              </w:rPr>
              <w:t xml:space="preserve"> (</w:t>
            </w:r>
            <w:r w:rsidRPr="00F802D9">
              <w:rPr>
                <w:rFonts w:ascii="Arial" w:hAnsi="Arial" w:cs="Arial"/>
                <w:sz w:val="14"/>
                <w:szCs w:val="14"/>
              </w:rPr>
              <w:t>Consultas Técnicas</w:t>
            </w:r>
            <w:r w:rsidRPr="00A92B98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A92B98" w:rsidRDefault="003A3F7D" w:rsidP="00DD2C97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20633">
                <w:rPr>
                  <w:rStyle w:val="Hipervnculo"/>
                  <w:rFonts w:ascii="Arial" w:hAnsi="Arial" w:cs="Arial"/>
                  <w:szCs w:val="14"/>
                </w:rPr>
                <w:t>mrchacon</w:t>
              </w:r>
              <w:r w:rsidRPr="00B2063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3A3F7D" w:rsidRPr="00A92B98" w:rsidRDefault="003A3F7D" w:rsidP="00DD2C97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3A3F7D" w:rsidRPr="00A92B98" w:rsidRDefault="003A3F7D" w:rsidP="00DD2C97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hyperlink r:id="rId8" w:history="1">
              <w:r w:rsidRPr="00B20633">
                <w:rPr>
                  <w:rStyle w:val="Hipervnculo"/>
                  <w:rFonts w:ascii="Arial" w:hAnsi="Arial" w:cs="Arial"/>
                  <w:szCs w:val="14"/>
                </w:rPr>
                <w:t>framirez@bcb.gob.bo</w:t>
              </w:r>
            </w:hyperlink>
          </w:p>
          <w:p w:rsidR="003A3F7D" w:rsidRPr="009956C4" w:rsidRDefault="003A3F7D" w:rsidP="00DD2C97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F7D" w:rsidRPr="009956C4" w:rsidRDefault="003A3F7D" w:rsidP="00DD2C97">
            <w:pPr>
              <w:rPr>
                <w:rFonts w:ascii="Arial" w:hAnsi="Arial" w:cs="Arial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402294" w:rsidRDefault="003A3F7D" w:rsidP="00DD2C9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A909E5" w:rsidRDefault="003A3F7D" w:rsidP="00DD2C97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3A3F7D" w:rsidRPr="009956C4" w:rsidRDefault="003A3F7D" w:rsidP="00DD2C97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3F7D" w:rsidRPr="009956C4" w:rsidTr="00DD2C97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A3F7D" w:rsidRPr="009956C4" w:rsidRDefault="003A3F7D" w:rsidP="00DD2C9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3A3F7D" w:rsidRDefault="003A3F7D" w:rsidP="003A3F7D">
      <w:pPr>
        <w:rPr>
          <w:lang w:val="es-BO"/>
        </w:rPr>
      </w:pPr>
    </w:p>
    <w:p w:rsidR="003A3F7D" w:rsidRPr="009956C4" w:rsidRDefault="003A3F7D" w:rsidP="003A3F7D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0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0"/>
    </w:p>
    <w:p w:rsidR="003A3F7D" w:rsidRPr="00DF1D1E" w:rsidRDefault="003A3F7D" w:rsidP="003A3F7D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A3F7D" w:rsidRPr="009956C4" w:rsidTr="00DD2C97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7D" w:rsidRDefault="003A3F7D" w:rsidP="00DD2C9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A3F7D" w:rsidRPr="00DF1D1E" w:rsidRDefault="003A3F7D" w:rsidP="00DD2C97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3A3F7D" w:rsidRDefault="003A3F7D" w:rsidP="00DD2C9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A3F7D" w:rsidRPr="00DF1D1E" w:rsidRDefault="003A3F7D" w:rsidP="00DD2C97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3A3F7D" w:rsidRPr="009956C4" w:rsidRDefault="003A3F7D" w:rsidP="003A3F7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A3F7D" w:rsidRPr="009956C4" w:rsidRDefault="003A3F7D" w:rsidP="003A3F7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3A3F7D" w:rsidRPr="009956C4" w:rsidRDefault="003A3F7D" w:rsidP="00DD2C97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A3F7D" w:rsidRPr="00DF1D1E" w:rsidRDefault="003A3F7D" w:rsidP="00DD2C97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A3F7D" w:rsidRPr="009956C4" w:rsidRDefault="003A3F7D" w:rsidP="00DD2C9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A3F7D" w:rsidRPr="00DF1D1E" w:rsidRDefault="003A3F7D" w:rsidP="00DD2C97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A3F7D" w:rsidRPr="009956C4" w:rsidRDefault="003A3F7D" w:rsidP="00DD2C9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A3F7D" w:rsidRPr="00DF1D1E" w:rsidRDefault="003A3F7D" w:rsidP="00DD2C97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3A3F7D" w:rsidRPr="009956C4" w:rsidRDefault="003A3F7D" w:rsidP="00DD2C97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3A3F7D" w:rsidRPr="00DF1D1E" w:rsidRDefault="003A3F7D" w:rsidP="003A3F7D">
      <w:pPr>
        <w:jc w:val="right"/>
        <w:rPr>
          <w:rFonts w:ascii="Arial" w:hAnsi="Arial" w:cs="Arial"/>
          <w:sz w:val="12"/>
          <w:lang w:val="es-BO"/>
        </w:rPr>
      </w:pPr>
    </w:p>
    <w:p w:rsidR="003A3F7D" w:rsidRPr="009956C4" w:rsidRDefault="003A3F7D" w:rsidP="003A3F7D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3A3F7D" w:rsidRPr="00DF1D1E" w:rsidRDefault="003A3F7D" w:rsidP="003A3F7D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3A3F7D" w:rsidRPr="009956C4" w:rsidTr="00DD2C97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A3F7D" w:rsidRPr="009956C4" w:rsidTr="00DD2C9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B22D02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AA247B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AA247B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A247B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543012" w:rsidRDefault="003A3F7D" w:rsidP="00DD2C97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E7F5A" w:rsidRDefault="003A3F7D" w:rsidP="00DD2C97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3A3F7D" w:rsidRPr="009E7F5A" w:rsidRDefault="003A3F7D" w:rsidP="003A3F7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3A3F7D" w:rsidRPr="002662F5" w:rsidRDefault="003A3F7D" w:rsidP="00DD2C9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3F7D" w:rsidRPr="009956C4" w:rsidTr="00DD2C9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2662F5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2662F5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2662F5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3F7D" w:rsidRPr="009956C4" w:rsidTr="00DD2C9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7807DF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7146D" w:rsidRDefault="003A3F7D" w:rsidP="00DD2C97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97146D">
              <w:rPr>
                <w:sz w:val="14"/>
                <w:szCs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6F7EE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FD7E8D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FD7E8D" w:rsidRDefault="003A3F7D" w:rsidP="00DD2C9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3A3F7D" w:rsidRPr="002C088B" w:rsidRDefault="003A3F7D" w:rsidP="00DD2C9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2C088B">
              <w:rPr>
                <w:rFonts w:ascii="Arial" w:hAnsi="Arial" w:cs="Arial"/>
                <w:sz w:val="14"/>
                <w:szCs w:val="14"/>
                <w:lang w:val="es-BO"/>
              </w:rPr>
              <w:t>https://bcb-gob-bo.zoom.us/j/81375220467?pwd=N21kOUxacFdYeXFxcEVFYkRySFZudz09</w:t>
            </w:r>
          </w:p>
          <w:p w:rsidR="003A3F7D" w:rsidRPr="002C088B" w:rsidRDefault="003A3F7D" w:rsidP="00DD2C9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C088B">
              <w:rPr>
                <w:rFonts w:ascii="Arial" w:hAnsi="Arial" w:cs="Arial"/>
                <w:sz w:val="14"/>
                <w:szCs w:val="14"/>
                <w:lang w:val="es-BO"/>
              </w:rPr>
              <w:t>ID de reunión: 813 7522 0467</w:t>
            </w:r>
          </w:p>
          <w:p w:rsidR="003A3F7D" w:rsidRPr="00543012" w:rsidRDefault="003A3F7D" w:rsidP="00DD2C97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2C088B">
              <w:rPr>
                <w:rFonts w:ascii="Arial" w:hAnsi="Arial" w:cs="Arial"/>
                <w:sz w:val="14"/>
                <w:szCs w:val="14"/>
                <w:lang w:val="es-BO"/>
              </w:rPr>
              <w:t>Código de acceso: 914607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3F7D" w:rsidRPr="009956C4" w:rsidTr="00DD2C97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9956C4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9956C4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9956C4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A244D6" w:rsidTr="00DD2C9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F7D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A3F7D" w:rsidRPr="00A244D6" w:rsidRDefault="003A3F7D" w:rsidP="00DD2C9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F7D" w:rsidRPr="00A244D6" w:rsidTr="00DD2C9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3F7D" w:rsidRPr="00A244D6" w:rsidRDefault="003A3F7D" w:rsidP="00DD2C9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F7D" w:rsidRPr="00A244D6" w:rsidRDefault="003A3F7D" w:rsidP="00DD2C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A244D6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A3F7D" w:rsidRPr="00DF1D1E" w:rsidTr="00DD2C9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3F7D" w:rsidRPr="00DF1D1E" w:rsidRDefault="003A3F7D" w:rsidP="00DD2C97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A3F7D" w:rsidRPr="00DF1D1E" w:rsidRDefault="003A3F7D" w:rsidP="00DD2C97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3F7D" w:rsidRPr="00DF1D1E" w:rsidRDefault="003A3F7D" w:rsidP="00DD2C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F7D" w:rsidRPr="00DF1D1E" w:rsidRDefault="003A3F7D" w:rsidP="00DD2C97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3" w:name="_GoBack"/>
      <w:bookmarkEnd w:id="3"/>
    </w:p>
    <w:p w:rsidR="00CF0B01" w:rsidRPr="00A244D6" w:rsidRDefault="003A3F7D" w:rsidP="00CF0B0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 </w:t>
      </w:r>
      <w:r w:rsidR="00CF0B01"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F0B01">
        <w:rPr>
          <w:rFonts w:cs="Arial"/>
          <w:i/>
          <w:sz w:val="14"/>
          <w:szCs w:val="18"/>
          <w:lang w:val="es-BO"/>
        </w:rPr>
        <w:t>.</w:t>
      </w:r>
    </w:p>
    <w:p w:rsidR="00CF0B01" w:rsidRDefault="00CF0B01" w:rsidP="00CF0B01">
      <w:pPr>
        <w:rPr>
          <w:lang w:val="es-BO"/>
        </w:rPr>
      </w:pPr>
    </w:p>
    <w:sectPr w:rsidR="00CF0B01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Yu Gothic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ir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7636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2023-04-14T22:23:00Z</dcterms:created>
  <dcterms:modified xsi:type="dcterms:W3CDTF">2023-04-21T19:29:00Z</dcterms:modified>
</cp:coreProperties>
</file>