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4923688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0676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0676B">
              <w:rPr>
                <w:rFonts w:ascii="Arial" w:hAnsi="Arial" w:cs="Arial"/>
                <w:color w:val="FFFFFF"/>
                <w:sz w:val="18"/>
                <w:lang w:val="pt-BR"/>
              </w:rPr>
              <w:t>95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1E3380" w:rsidRDefault="001E3380" w:rsidP="002A1145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C0676B" w:rsidRPr="009956C4" w:rsidTr="00245C54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0676B" w:rsidRPr="009956C4" w:rsidRDefault="00C0676B" w:rsidP="00C0676B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C0676B" w:rsidRPr="006876A4" w:rsidTr="00245C54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6876A4" w:rsidRDefault="00C0676B" w:rsidP="00245C54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0676B" w:rsidRPr="00331652" w:rsidTr="00245C54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2"/>
              </w:rPr>
            </w:pPr>
          </w:p>
        </w:tc>
      </w:tr>
      <w:tr w:rsidR="00C0676B" w:rsidRPr="00331652" w:rsidTr="00245C54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676B" w:rsidRPr="00331652" w:rsidTr="00245C54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 Nº 0</w:t>
            </w:r>
            <w:r>
              <w:rPr>
                <w:rFonts w:ascii="Arial" w:hAnsi="Arial" w:cs="Arial"/>
              </w:rPr>
              <w:t>95</w:t>
            </w:r>
            <w:r w:rsidRPr="0033165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– 1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2"/>
              </w:rPr>
            </w:pPr>
          </w:p>
        </w:tc>
      </w:tr>
      <w:tr w:rsidR="00C0676B" w:rsidRPr="00331652" w:rsidTr="00245C54">
        <w:trPr>
          <w:trHeight w:val="223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676B" w:rsidRPr="00331652" w:rsidRDefault="00C0676B" w:rsidP="00245C5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2"/>
              </w:rPr>
            </w:pPr>
          </w:p>
        </w:tc>
      </w:tr>
      <w:tr w:rsidR="00C0676B" w:rsidRPr="00331652" w:rsidTr="00245C54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C0676B" w:rsidRPr="00331652" w:rsidTr="00245C54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76B" w:rsidRPr="00331652" w:rsidRDefault="00C0676B" w:rsidP="00245C54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76B" w:rsidRPr="00331652" w:rsidRDefault="00C0676B" w:rsidP="00245C5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76B" w:rsidRPr="00331652" w:rsidRDefault="00C0676B" w:rsidP="00245C5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76B" w:rsidRPr="00331652" w:rsidRDefault="00C0676B" w:rsidP="00245C5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676B" w:rsidRPr="00331652" w:rsidTr="00245C54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0676B" w:rsidRPr="00331652" w:rsidRDefault="00C0676B" w:rsidP="00C0676B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C0676B" w:rsidRPr="00331652" w:rsidTr="00245C54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676B" w:rsidRPr="00331652" w:rsidTr="00245C54">
        <w:trPr>
          <w:trHeight w:val="328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193D5C">
              <w:rPr>
                <w:rFonts w:ascii="Arial" w:hAnsi="Arial" w:cs="Arial"/>
                <w:b/>
              </w:rPr>
              <w:t>PROVISIÓN DE UNA LIBRERÍA TAPE BACKUP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331652" w:rsidTr="00245C54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0676B" w:rsidRPr="00331652" w:rsidTr="00245C54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0676B" w:rsidRPr="00331652" w:rsidTr="00245C54">
        <w:trPr>
          <w:trHeight w:val="2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C0676B" w:rsidRPr="00331652" w:rsidTr="00245C54">
        <w:trPr>
          <w:trHeight w:val="21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0676B" w:rsidRPr="00331652" w:rsidTr="00245C54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0676B" w:rsidRPr="00331652" w:rsidTr="00245C54">
        <w:trPr>
          <w:trHeight w:val="209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331652" w:rsidTr="00245C54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0676B" w:rsidRPr="00331652" w:rsidTr="00245C54">
        <w:trPr>
          <w:trHeight w:val="322"/>
        </w:trPr>
        <w:tc>
          <w:tcPr>
            <w:tcW w:w="1872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C60C5">
              <w:rPr>
                <w:rFonts w:ascii="Arial" w:hAnsi="Arial" w:cs="Arial"/>
                <w:b/>
                <w:sz w:val="14"/>
                <w:lang w:val="es-419"/>
              </w:rPr>
              <w:t>Bs</w:t>
            </w:r>
            <w:r>
              <w:rPr>
                <w:rFonts w:ascii="Arial" w:hAnsi="Arial" w:cs="Arial"/>
                <w:b/>
                <w:sz w:val="14"/>
                <w:lang w:val="es-419"/>
              </w:rPr>
              <w:t xml:space="preserve"> 229</w:t>
            </w:r>
            <w:r>
              <w:rPr>
                <w:rFonts w:ascii="Arial" w:hAnsi="Arial" w:cs="Arial"/>
                <w:b/>
                <w:sz w:val="14"/>
              </w:rPr>
              <w:t>.720</w:t>
            </w:r>
            <w:r w:rsidRPr="00331652">
              <w:rPr>
                <w:rFonts w:ascii="Arial" w:hAnsi="Arial" w:cs="Arial"/>
                <w:b/>
                <w:sz w:val="14"/>
              </w:rPr>
              <w:t>,00 (</w:t>
            </w:r>
            <w:r>
              <w:rPr>
                <w:rFonts w:ascii="Arial" w:hAnsi="Arial" w:cs="Arial"/>
                <w:b/>
                <w:sz w:val="14"/>
              </w:rPr>
              <w:t xml:space="preserve">Doscientos veintinueve mil setecientos veinte </w:t>
            </w:r>
            <w:r w:rsidRPr="00331652">
              <w:rPr>
                <w:rFonts w:ascii="Arial" w:hAnsi="Arial" w:cs="Arial"/>
                <w:b/>
                <w:sz w:val="14"/>
              </w:rPr>
              <w:t>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0676B" w:rsidRPr="00331652" w:rsidTr="00245C54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C0676B" w:rsidRPr="00331652" w:rsidTr="00245C54">
        <w:trPr>
          <w:trHeight w:val="2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0676B" w:rsidRPr="00331652" w:rsidTr="00245C54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676B" w:rsidRPr="00331652" w:rsidTr="00245C54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C0676B" w:rsidRPr="00642FE1" w:rsidRDefault="00C0676B" w:rsidP="00245C54">
            <w:pPr>
              <w:ind w:right="15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642FE1">
              <w:rPr>
                <w:rFonts w:ascii="Arial" w:hAnsi="Arial" w:cs="Arial"/>
                <w:sz w:val="14"/>
                <w:szCs w:val="14"/>
                <w:lang w:eastAsia="zh-CN"/>
              </w:rPr>
              <w:t>La entrega de los bienes será de veinte (20) días calendario, computables a partir del siguiente día hábil de la firma del contrato.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331652" w:rsidTr="00245C54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331652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0676B" w:rsidRPr="00331652" w:rsidTr="00245C54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 xml:space="preserve">El proponente deberá </w:t>
            </w:r>
            <w:r w:rsidRPr="00590F92">
              <w:rPr>
                <w:rFonts w:ascii="Arial" w:hAnsi="Arial" w:cs="Arial"/>
                <w:b/>
                <w:i/>
                <w:sz w:val="14"/>
              </w:rPr>
              <w:t>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C0676B" w:rsidRPr="00331652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6876A4" w:rsidTr="00245C54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6876A4" w:rsidRDefault="00C0676B" w:rsidP="00245C54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0676B" w:rsidRPr="009956C4" w:rsidTr="00245C54">
        <w:trPr>
          <w:trHeight w:val="578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C0676B" w:rsidRPr="006876A4" w:rsidRDefault="00C0676B" w:rsidP="00245C5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C0676B" w:rsidRPr="002F17D3" w:rsidRDefault="00C0676B" w:rsidP="00245C54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6876A4" w:rsidTr="00245C54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6876A4" w:rsidRDefault="00C0676B" w:rsidP="00245C54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0676B" w:rsidRPr="009956C4" w:rsidTr="00245C54">
        <w:trPr>
          <w:trHeight w:val="564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C0676B" w:rsidRPr="002F17D3" w:rsidRDefault="00C0676B" w:rsidP="00245C54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r w:rsidRPr="00642FE1">
              <w:rPr>
                <w:rFonts w:ascii="Arial" w:hAnsi="Arial" w:cs="Arial"/>
                <w:b/>
                <w:i/>
                <w:sz w:val="14"/>
              </w:rPr>
              <w:t>por un periodo de tres (3) años.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6876A4" w:rsidTr="00245C54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C0676B" w:rsidRPr="009956C4" w:rsidTr="00245C54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784A03" w:rsidRDefault="00C0676B" w:rsidP="00245C5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C0676B" w:rsidRPr="009956C4" w:rsidTr="00245C54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76B" w:rsidRPr="009956C4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0676B" w:rsidRPr="009956C4" w:rsidTr="00245C54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para bienes recurrentes </w:t>
            </w:r>
            <w:r w:rsidRPr="0031423B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C0676B" w:rsidRPr="0031423B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676B" w:rsidRPr="009956C4" w:rsidTr="00245C54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C0676B" w:rsidRPr="0031423B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C0676B" w:rsidRPr="0031423B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676B" w:rsidRPr="009956C4" w:rsidTr="00245C54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76B" w:rsidRPr="0031423B" w:rsidRDefault="00C0676B" w:rsidP="00245C5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31423B">
              <w:rPr>
                <w:rFonts w:ascii="Arial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C0676B" w:rsidRPr="0031423B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676B" w:rsidRPr="009956C4" w:rsidTr="00245C54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C0676B" w:rsidRPr="009956C4" w:rsidTr="00245C54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C0676B" w:rsidRPr="00331652" w:rsidRDefault="00C0676B" w:rsidP="00245C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9956C4" w:rsidTr="00245C54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9956C4" w:rsidTr="00245C54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0676B" w:rsidRPr="009956C4" w:rsidRDefault="00C0676B" w:rsidP="00245C5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  <w:sz w:val="14"/>
              </w:rPr>
            </w:pPr>
          </w:p>
        </w:tc>
      </w:tr>
      <w:tr w:rsidR="00C0676B" w:rsidRPr="006876A4" w:rsidTr="00245C54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0676B" w:rsidRPr="009956C4" w:rsidTr="00245C54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0676B" w:rsidRPr="009956C4" w:rsidRDefault="00C0676B" w:rsidP="00C0676B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0676B" w:rsidRPr="009956C4" w:rsidTr="00245C54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9956C4" w:rsidRDefault="00C0676B" w:rsidP="00245C5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0676B" w:rsidRPr="009956C4" w:rsidTr="00245C54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</w:rPr>
            </w:pPr>
          </w:p>
        </w:tc>
      </w:tr>
      <w:tr w:rsidR="00C0676B" w:rsidRPr="009956C4" w:rsidTr="00245C54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0676B" w:rsidRPr="009956C4" w:rsidTr="00245C54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C0676B" w:rsidRPr="009956C4" w:rsidRDefault="00C0676B" w:rsidP="00245C5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C0676B" w:rsidRPr="00331652" w:rsidRDefault="00C0676B" w:rsidP="00245C5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C0676B" w:rsidRPr="00331652" w:rsidRDefault="00C0676B" w:rsidP="00245C5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0676B" w:rsidRPr="009956C4" w:rsidTr="00245C54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C0676B" w:rsidRPr="00331652" w:rsidRDefault="00C0676B" w:rsidP="00245C54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Marcelo F. Chacón Rodriguez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331652" w:rsidRDefault="00C0676B" w:rsidP="00245C54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</w:rPr>
            </w:pPr>
          </w:p>
        </w:tc>
      </w:tr>
      <w:tr w:rsidR="00C0676B" w:rsidRPr="009956C4" w:rsidTr="00245C54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331652" w:rsidRDefault="00C0676B" w:rsidP="00245C54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510817" w:rsidRDefault="00C0676B" w:rsidP="00245C54">
            <w:pPr>
              <w:jc w:val="center"/>
              <w:rPr>
                <w:rFonts w:ascii="Arial" w:hAnsi="Arial" w:cs="Arial"/>
                <w:highlight w:val="yellow"/>
              </w:rPr>
            </w:pPr>
            <w:r w:rsidRPr="00642FE1">
              <w:rPr>
                <w:rFonts w:ascii="Arial" w:hAnsi="Arial" w:cs="Arial"/>
              </w:rPr>
              <w:t>Augusto Fabián Parrado Ugarte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0676B" w:rsidRPr="00510817" w:rsidRDefault="00C0676B" w:rsidP="00245C5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642FE1" w:rsidRDefault="00C0676B" w:rsidP="00245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de Operadores de Consola de Seguridad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0676B" w:rsidRPr="00642FE1" w:rsidRDefault="00C0676B" w:rsidP="00245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642FE1" w:rsidRDefault="00C0676B" w:rsidP="00245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Seguridad y Contingencias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</w:rPr>
            </w:pPr>
          </w:p>
        </w:tc>
      </w:tr>
      <w:tr w:rsidR="00C0676B" w:rsidRPr="006876A4" w:rsidTr="00245C54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0676B" w:rsidRPr="009956C4" w:rsidTr="00245C54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B514BE" w:rsidRDefault="00C0676B" w:rsidP="00245C54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C0676B" w:rsidRPr="00B514BE" w:rsidRDefault="00C0676B" w:rsidP="00245C54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19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C0676B" w:rsidRPr="009956C4" w:rsidRDefault="00C0676B" w:rsidP="00245C54">
            <w:pPr>
              <w:rPr>
                <w:rFonts w:ascii="Arial" w:hAnsi="Arial" w:cs="Arial"/>
              </w:rPr>
            </w:pPr>
            <w:r w:rsidRPr="00642FE1">
              <w:rPr>
                <w:rFonts w:ascii="Arial" w:hAnsi="Arial" w:cs="Arial"/>
                <w:sz w:val="14"/>
                <w:szCs w:val="14"/>
              </w:rPr>
              <w:t>4578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9956C4" w:rsidRDefault="00C0676B" w:rsidP="00245C5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9956C4" w:rsidRDefault="00C0676B" w:rsidP="00245C54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49518E" w:rsidRDefault="00C0676B" w:rsidP="00245C54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mrchacon@bcb.gob.bo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C0676B" w:rsidRPr="005600F0" w:rsidRDefault="00C0676B" w:rsidP="00245C54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C0676B" w:rsidRPr="00642FE1" w:rsidRDefault="00C0676B" w:rsidP="00245C54">
            <w:pPr>
              <w:jc w:val="both"/>
              <w:rPr>
                <w:rStyle w:val="Hipervnculo"/>
                <w:lang w:val="pt-BR"/>
              </w:rPr>
            </w:pPr>
            <w:hyperlink r:id="rId8" w:history="1">
              <w:r w:rsidRPr="007142CA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aparrado@bcb.gob.bo</w:t>
              </w:r>
            </w:hyperlink>
          </w:p>
          <w:p w:rsidR="00C0676B" w:rsidRPr="009956C4" w:rsidRDefault="00C0676B" w:rsidP="00245C54">
            <w:pPr>
              <w:jc w:val="both"/>
              <w:rPr>
                <w:rFonts w:ascii="Arial" w:hAnsi="Arial" w:cs="Arial"/>
              </w:rPr>
            </w:pPr>
            <w:r w:rsidRPr="00642FE1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</w:rPr>
            </w:pPr>
          </w:p>
        </w:tc>
      </w:tr>
      <w:tr w:rsidR="00C0676B" w:rsidRPr="006876A4" w:rsidTr="00245C54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6876A4" w:rsidRDefault="00C0676B" w:rsidP="00245C5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0676B" w:rsidRPr="009956C4" w:rsidTr="00245C54">
        <w:trPr>
          <w:trHeight w:val="573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0676B" w:rsidRPr="009956C4" w:rsidRDefault="00C0676B" w:rsidP="00245C5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590F92" w:rsidRDefault="00C0676B" w:rsidP="00245C54">
            <w:pPr>
              <w:rPr>
                <w:rFonts w:ascii="Arial" w:hAnsi="Arial" w:cs="Arial"/>
              </w:rPr>
            </w:pPr>
            <w:r w:rsidRPr="00590F92">
              <w:rPr>
                <w:rFonts w:ascii="Arial" w:hAnsi="Arial" w:cs="Arial"/>
              </w:rPr>
              <w:t>Número de Cuenta: 10000041173216</w:t>
            </w:r>
          </w:p>
          <w:p w:rsidR="00C0676B" w:rsidRPr="00590F92" w:rsidRDefault="00C0676B" w:rsidP="00245C54">
            <w:pPr>
              <w:rPr>
                <w:rFonts w:ascii="Arial" w:hAnsi="Arial" w:cs="Arial"/>
              </w:rPr>
            </w:pPr>
            <w:r w:rsidRPr="00590F92">
              <w:rPr>
                <w:rFonts w:ascii="Arial" w:hAnsi="Arial" w:cs="Arial"/>
              </w:rPr>
              <w:t>Banco: Banco Unión S.A.</w:t>
            </w:r>
          </w:p>
          <w:p w:rsidR="00C0676B" w:rsidRPr="00590F92" w:rsidRDefault="00C0676B" w:rsidP="00245C54">
            <w:pPr>
              <w:rPr>
                <w:rFonts w:ascii="Arial" w:hAnsi="Arial" w:cs="Arial"/>
              </w:rPr>
            </w:pPr>
            <w:r w:rsidRPr="00590F92">
              <w:rPr>
                <w:rFonts w:ascii="Arial" w:hAnsi="Arial" w:cs="Arial"/>
              </w:rPr>
              <w:t>Titular: Tesoro General de la Nación</w:t>
            </w:r>
          </w:p>
          <w:p w:rsidR="00C0676B" w:rsidRPr="00B53080" w:rsidRDefault="00C0676B" w:rsidP="00245C54">
            <w:pPr>
              <w:rPr>
                <w:rFonts w:ascii="Arial" w:hAnsi="Arial" w:cs="Arial"/>
                <w:color w:val="000099"/>
              </w:rPr>
            </w:pPr>
            <w:r w:rsidRPr="00590F92"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0676B" w:rsidRPr="009956C4" w:rsidRDefault="00C0676B" w:rsidP="00245C54">
            <w:pPr>
              <w:rPr>
                <w:rFonts w:ascii="Arial" w:hAnsi="Arial" w:cs="Arial"/>
              </w:rPr>
            </w:pPr>
          </w:p>
        </w:tc>
      </w:tr>
      <w:tr w:rsidR="00C0676B" w:rsidRPr="00967208" w:rsidTr="00245C54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C0676B" w:rsidRPr="00967208" w:rsidRDefault="00C0676B" w:rsidP="00245C5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C0676B" w:rsidRPr="00967208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C0676B" w:rsidRPr="00967208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C0676B" w:rsidRPr="00967208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C0676B" w:rsidRPr="00967208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C0676B" w:rsidRPr="00967208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C0676B" w:rsidRPr="00967208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0676B" w:rsidRPr="00967208" w:rsidRDefault="00C0676B" w:rsidP="00245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0676B" w:rsidRPr="009956C4" w:rsidRDefault="00C0676B" w:rsidP="00E960A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cs="Arial"/>
          <w:sz w:val="18"/>
          <w:szCs w:val="18"/>
          <w:lang w:val="es-BO"/>
        </w:rPr>
      </w:pPr>
      <w:bookmarkStart w:id="0" w:name="_Toc94726526"/>
      <w:bookmarkStart w:id="1" w:name="_GoBack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0"/>
    </w:p>
    <w:p w:rsidR="00C0676B" w:rsidRPr="009956C4" w:rsidRDefault="00C0676B" w:rsidP="00C0676B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C0676B" w:rsidRPr="009956C4" w:rsidTr="00245C54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6B" w:rsidRPr="00A16197" w:rsidRDefault="00C0676B" w:rsidP="00245C54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0676B" w:rsidRPr="00A16197" w:rsidRDefault="00C0676B" w:rsidP="00245C5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C0676B" w:rsidRPr="00A16197" w:rsidRDefault="00C0676B" w:rsidP="00C0676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C0676B" w:rsidRPr="00A16197" w:rsidRDefault="00C0676B" w:rsidP="00C0676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0676B" w:rsidRPr="00A16197" w:rsidRDefault="00C0676B" w:rsidP="00245C54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C0676B" w:rsidRPr="00A16197" w:rsidRDefault="00C0676B" w:rsidP="00245C5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0676B" w:rsidRPr="00A16197" w:rsidRDefault="00C0676B" w:rsidP="00245C5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0676B" w:rsidRPr="00A16197" w:rsidRDefault="00C0676B" w:rsidP="00245C54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C0676B" w:rsidRPr="009956C4" w:rsidRDefault="00C0676B" w:rsidP="00C0676B">
      <w:pPr>
        <w:jc w:val="right"/>
        <w:rPr>
          <w:rFonts w:ascii="Arial" w:hAnsi="Arial" w:cs="Arial"/>
          <w:lang w:val="es-BO"/>
        </w:rPr>
      </w:pPr>
    </w:p>
    <w:p w:rsidR="00C0676B" w:rsidRPr="009956C4" w:rsidRDefault="00C0676B" w:rsidP="00C0676B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0676B" w:rsidRPr="00967208" w:rsidRDefault="00C0676B" w:rsidP="00C0676B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0676B" w:rsidRPr="009956C4" w:rsidTr="00245C54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0676B" w:rsidRPr="009956C4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0676B" w:rsidRPr="009956C4" w:rsidRDefault="00C0676B" w:rsidP="00245C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0676B" w:rsidRPr="009956C4" w:rsidRDefault="00C0676B" w:rsidP="00245C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0676B" w:rsidRPr="009956C4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0676B" w:rsidRPr="00CD1527" w:rsidTr="00245C54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CD1527" w:rsidTr="00245C5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6B19A6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6876A4" w:rsidTr="00245C54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6B19A6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777178" w:rsidRDefault="00C0676B" w:rsidP="00245C54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0676B" w:rsidRPr="006B19A6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06531E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06531E" w:rsidTr="00245C54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06531E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A756A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2B4997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 xml:space="preserve">En forma </w:t>
            </w:r>
            <w:proofErr w:type="spellStart"/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Fisica</w:t>
            </w:r>
            <w:proofErr w:type="spellEnd"/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:</w:t>
            </w:r>
          </w:p>
          <w:p w:rsidR="00C0676B" w:rsidRPr="002B4997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Planta Baja, Ventanilla única de Correspondencia del Edif. Principal del BCB (Nota dirigida al Gerente General del BCB – RPC) </w:t>
            </w:r>
            <w:proofErr w:type="spellStart"/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>ó</w:t>
            </w:r>
            <w:proofErr w:type="spellEnd"/>
          </w:p>
          <w:p w:rsidR="00C0676B" w:rsidRPr="002B4997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electrónica:</w:t>
            </w:r>
          </w:p>
          <w:p w:rsidR="00C0676B" w:rsidRPr="0006531E" w:rsidRDefault="00C0676B" w:rsidP="00245C5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A los correos electrónicos </w:t>
            </w:r>
            <w:hyperlink r:id="rId9" w:history="1">
              <w:r w:rsidRPr="007142CA">
                <w:rPr>
                  <w:rStyle w:val="Hipervnculo"/>
                  <w:rFonts w:ascii="Arial" w:hAnsi="Arial" w:cs="Arial"/>
                  <w:sz w:val="14"/>
                  <w:szCs w:val="12"/>
                  <w:lang w:val="es-BO"/>
                </w:rPr>
                <w:t>aparrado@bcb.gob.bo</w:t>
              </w:r>
            </w:hyperlink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, 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06531E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06531E" w:rsidTr="00245C54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06531E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A756A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A756A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A756A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A756A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A756A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2B4997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C0676B" w:rsidRPr="002B4997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>Piso 7, Edif. Principal del BCB – Calle Ayacucho esq. Mercado (Departamento de Compras y Contrataciones).</w:t>
            </w:r>
          </w:p>
          <w:p w:rsidR="00C0676B" w:rsidRPr="002B4997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C0676B" w:rsidRDefault="00C0676B" w:rsidP="00245C54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2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El enlace para la reunión virtual es: </w:t>
            </w:r>
          </w:p>
          <w:p w:rsidR="00C0676B" w:rsidRPr="001C5D0F" w:rsidRDefault="00C0676B" w:rsidP="00245C5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2"/>
              </w:rPr>
            </w:pPr>
            <w:r w:rsidRPr="001C5D0F">
              <w:rPr>
                <w:rStyle w:val="Hipervnculo"/>
                <w:rFonts w:ascii="Arial" w:hAnsi="Arial" w:cs="Arial"/>
                <w:sz w:val="14"/>
                <w:szCs w:val="12"/>
              </w:rPr>
              <w:t>https://bcb-gob-bo.zoom.us/j/89517065812?pwd=V2tTWk80M0Y1cm1SZ1JWQnI3em5Fdz09</w:t>
            </w:r>
          </w:p>
          <w:p w:rsidR="00C0676B" w:rsidRPr="001C5D0F" w:rsidRDefault="00C0676B" w:rsidP="00245C5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2"/>
              </w:rPr>
            </w:pPr>
          </w:p>
          <w:p w:rsidR="00C0676B" w:rsidRPr="001C5D0F" w:rsidRDefault="00C0676B" w:rsidP="00245C5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2"/>
                <w:u w:val="none"/>
              </w:rPr>
            </w:pPr>
            <w:r w:rsidRPr="001C5D0F">
              <w:rPr>
                <w:rStyle w:val="Hipervnculo"/>
                <w:rFonts w:ascii="Arial" w:hAnsi="Arial" w:cs="Arial"/>
                <w:sz w:val="14"/>
                <w:szCs w:val="12"/>
                <w:u w:val="none"/>
              </w:rPr>
              <w:t>ID de reunión: 895 1706 5812</w:t>
            </w:r>
          </w:p>
          <w:p w:rsidR="00C0676B" w:rsidRPr="0006531E" w:rsidRDefault="00C0676B" w:rsidP="00245C5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C5D0F">
              <w:rPr>
                <w:rStyle w:val="Hipervnculo"/>
                <w:rFonts w:ascii="Arial" w:hAnsi="Arial" w:cs="Arial"/>
                <w:sz w:val="14"/>
                <w:szCs w:val="12"/>
                <w:u w:val="none"/>
              </w:rPr>
              <w:t>Código de acceso: 979483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06531E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CD1527" w:rsidTr="00245C54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06531E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06531E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A13ED5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005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5600F0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1C5D0F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5D0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1C5D0F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1C5D0F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5D0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</w:rPr>
              <w:t>zoom</w:t>
            </w:r>
            <w:r w:rsidRPr="00CD1527">
              <w:rPr>
                <w:rFonts w:ascii="Arial" w:hAnsi="Arial" w:cs="Arial"/>
              </w:rPr>
              <w:t xml:space="preserve">: </w:t>
            </w:r>
          </w:p>
          <w:p w:rsidR="00C0676B" w:rsidRPr="0031423B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C0676B" w:rsidRPr="00794F3B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94F3B">
              <w:rPr>
                <w:rFonts w:ascii="Arial" w:hAnsi="Arial" w:cs="Arial"/>
                <w:lang w:val="es-BO"/>
              </w:rPr>
              <w:t>Unirse a la reunión Zoom</w:t>
            </w:r>
          </w:p>
          <w:p w:rsidR="00C0676B" w:rsidRPr="001C5D0F" w:rsidRDefault="00C0676B" w:rsidP="00245C5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lang w:val="es-BO"/>
              </w:rPr>
            </w:pPr>
            <w:r w:rsidRPr="001C5D0F">
              <w:rPr>
                <w:rStyle w:val="Hipervnculo"/>
                <w:rFonts w:ascii="Arial" w:hAnsi="Arial" w:cs="Arial"/>
                <w:lang w:val="es-BO"/>
              </w:rPr>
              <w:t>https://bcb-gob-bo.zoom.us/j/84559286698?pwd=NVVWVThhQ3RTcm16WkxwaFV0djladz09</w:t>
            </w:r>
          </w:p>
          <w:p w:rsidR="00C0676B" w:rsidRPr="001C5D0F" w:rsidRDefault="00C0676B" w:rsidP="00245C5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lang w:val="es-BO"/>
              </w:rPr>
            </w:pPr>
          </w:p>
          <w:p w:rsidR="00C0676B" w:rsidRPr="001C5D0F" w:rsidRDefault="00C0676B" w:rsidP="00245C5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u w:val="none"/>
                <w:lang w:val="es-BO"/>
              </w:rPr>
            </w:pPr>
            <w:r w:rsidRPr="001C5D0F">
              <w:rPr>
                <w:rStyle w:val="Hipervnculo"/>
                <w:rFonts w:ascii="Arial" w:hAnsi="Arial" w:cs="Arial"/>
                <w:u w:val="none"/>
                <w:lang w:val="es-BO"/>
              </w:rPr>
              <w:t>ID de reunión: 845 5928 6698</w:t>
            </w:r>
          </w:p>
          <w:p w:rsidR="00C0676B" w:rsidRPr="00CD1527" w:rsidRDefault="00C0676B" w:rsidP="00245C5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1C5D0F">
              <w:rPr>
                <w:rStyle w:val="Hipervnculo"/>
                <w:rFonts w:ascii="Arial" w:hAnsi="Arial" w:cs="Arial"/>
                <w:u w:val="none"/>
                <w:lang w:val="es-BO"/>
              </w:rPr>
              <w:t>Código de acceso: 973652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222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CD1527" w:rsidTr="00245C54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0676B" w:rsidRPr="00CD1527" w:rsidTr="00245C5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76B" w:rsidRPr="00CD1527" w:rsidRDefault="00C0676B" w:rsidP="00245C5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CD1527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76B" w:rsidRPr="00967208" w:rsidTr="00245C54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676B" w:rsidRPr="00967208" w:rsidRDefault="00C0676B" w:rsidP="00245C5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76B" w:rsidRPr="00967208" w:rsidRDefault="00C0676B" w:rsidP="00245C5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6B" w:rsidRPr="0096720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76B" w:rsidRPr="0096720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96720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76B" w:rsidRPr="0096720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676B" w:rsidRPr="00967208" w:rsidRDefault="00C0676B" w:rsidP="00245C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0676B" w:rsidRDefault="00C0676B" w:rsidP="00C0676B">
      <w:pPr>
        <w:rPr>
          <w:sz w:val="10"/>
          <w:szCs w:val="10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C0676B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0676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960AE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ra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rrad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7654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4</cp:revision>
  <cp:lastPrinted>2016-11-23T23:13:00Z</cp:lastPrinted>
  <dcterms:created xsi:type="dcterms:W3CDTF">2023-08-30T22:02:00Z</dcterms:created>
  <dcterms:modified xsi:type="dcterms:W3CDTF">2023-08-30T22:02:00Z</dcterms:modified>
</cp:coreProperties>
</file>