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348"/>
      </w:tblGrid>
      <w:tr w:rsidR="00C92940" w:rsidRPr="0058012F" w:rsidTr="008A7370">
        <w:trPr>
          <w:trHeight w:val="1390"/>
          <w:jc w:val="center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30044961" r:id="rId6"/>
              </w:object>
            </w:r>
          </w:p>
        </w:tc>
        <w:tc>
          <w:tcPr>
            <w:tcW w:w="8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8A737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8A7370">
              <w:rPr>
                <w:rFonts w:ascii="Arial" w:hAnsi="Arial" w:cs="Arial"/>
                <w:color w:val="FFFFFF"/>
                <w:sz w:val="18"/>
                <w:lang w:val="pt-BR"/>
              </w:rPr>
              <w:t>92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4254A1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8A7370" w:rsidRPr="008A7370" w:rsidRDefault="008A7370" w:rsidP="008A7370">
      <w:pPr>
        <w:pStyle w:val="Puesto"/>
        <w:numPr>
          <w:ilvl w:val="0"/>
          <w:numId w:val="13"/>
        </w:numPr>
        <w:spacing w:before="0" w:after="0"/>
        <w:jc w:val="both"/>
        <w:rPr>
          <w:rFonts w:ascii="Verdana" w:hAnsi="Verdana"/>
          <w:sz w:val="14"/>
        </w:rPr>
      </w:pPr>
      <w:bookmarkStart w:id="0" w:name="_Toc94724712"/>
      <w:r w:rsidRPr="008A7370">
        <w:rPr>
          <w:rFonts w:ascii="Verdana" w:hAnsi="Verdana"/>
          <w:sz w:val="14"/>
        </w:rPr>
        <w:t>CONVOCATORIA Y DATOS GENERALES DEL PROCESO DE CONTRATACIÓN</w:t>
      </w:r>
      <w:bookmarkEnd w:id="0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A7370" w:rsidRPr="00F75995" w:rsidTr="0066103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A7370" w:rsidRPr="00F75995" w:rsidRDefault="008A7370" w:rsidP="008A7370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A7370" w:rsidRPr="00F75995" w:rsidTr="0066103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F75995" w:rsidRDefault="008A7370" w:rsidP="0066103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A7370" w:rsidRPr="00F75995" w:rsidTr="00661035">
        <w:trPr>
          <w:trHeight w:val="2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F75995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3026CE" w:rsidRDefault="008A7370" w:rsidP="0066103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F75995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F75995" w:rsidTr="00661035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8A7370" w:rsidRPr="00F75995" w:rsidRDefault="008A7370" w:rsidP="0066103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370" w:rsidRPr="00967E53" w:rsidTr="0066103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ANPE – P Nº 0</w:t>
            </w:r>
            <w:r>
              <w:rPr>
                <w:rFonts w:ascii="Arial" w:hAnsi="Arial" w:cs="Arial"/>
                <w:lang w:val="es-BO"/>
              </w:rPr>
              <w:t>92</w:t>
            </w:r>
            <w:r w:rsidRPr="00967E53">
              <w:rPr>
                <w:rFonts w:ascii="Arial" w:hAnsi="Arial" w:cs="Arial"/>
                <w:lang w:val="es-BO"/>
              </w:rPr>
              <w:t>/2022-1C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967E53" w:rsidTr="00661035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967E53" w:rsidTr="0066103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370" w:rsidRPr="00967E53" w:rsidTr="0066103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70" w:rsidRPr="00967E53" w:rsidRDefault="008A7370" w:rsidP="0066103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bookmarkStart w:id="1" w:name="_GoBack"/>
            <w:bookmarkEnd w:id="1"/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70" w:rsidRPr="00967E53" w:rsidRDefault="008A7370" w:rsidP="0066103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70" w:rsidRPr="00967E53" w:rsidRDefault="008A7370" w:rsidP="0066103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A7370" w:rsidRPr="00967E53" w:rsidTr="0066103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370" w:rsidRPr="00967E53" w:rsidTr="008A7370">
        <w:trPr>
          <w:trHeight w:val="302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FIREWALL DE BASE DE DATOS - 2023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967E53" w:rsidTr="0066103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370" w:rsidRPr="00967E53" w:rsidTr="00661035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A7370" w:rsidRPr="00967E53" w:rsidTr="00661035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8A7370" w:rsidRPr="00967E53" w:rsidTr="00661035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8A7370" w:rsidRPr="00967E53" w:rsidTr="0066103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370" w:rsidRPr="00967E53" w:rsidTr="0066103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8A7370" w:rsidRPr="00967E53" w:rsidTr="0066103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370" w:rsidRPr="00967E53" w:rsidTr="008A7370">
        <w:trPr>
          <w:trHeight w:val="281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5F2D67" w:rsidRDefault="008A7370" w:rsidP="00661035">
            <w:pPr>
              <w:pStyle w:val="Textoindependiente"/>
              <w:spacing w:after="0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Bs204.005,00</w:t>
            </w:r>
            <w:r>
              <w:rPr>
                <w:rFonts w:ascii="Arial" w:hAnsi="Arial" w:cs="Arial"/>
                <w:lang w:val="es-BO"/>
              </w:rPr>
              <w:t xml:space="preserve"> (Doscientos Cuatro Mil Cinco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967E53" w:rsidTr="0066103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370" w:rsidRPr="00967E53" w:rsidTr="0066103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7370" w:rsidRPr="00967E53" w:rsidRDefault="008A7370" w:rsidP="0066103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A7370" w:rsidRPr="00967E53" w:rsidRDefault="008A7370" w:rsidP="0066103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A7370" w:rsidRPr="00967E53" w:rsidTr="0066103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370" w:rsidRPr="00967E53" w:rsidTr="0066103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E34A35" w:rsidRDefault="008A7370" w:rsidP="00661035">
            <w:pPr>
              <w:jc w:val="both"/>
              <w:rPr>
                <w:rFonts w:ascii="Arial" w:hAnsi="Arial" w:cs="Arial"/>
                <w:bCs/>
              </w:rPr>
            </w:pPr>
            <w:r w:rsidRPr="00E34A35">
              <w:rPr>
                <w:rFonts w:ascii="Arial" w:hAnsi="Arial" w:cs="Arial"/>
                <w:b/>
                <w:bCs/>
              </w:rPr>
              <w:t xml:space="preserve">Plazo para la activación de la suscripción: </w:t>
            </w:r>
            <w:r w:rsidRPr="00E34A35">
              <w:rPr>
                <w:rFonts w:ascii="Arial" w:hAnsi="Arial" w:cs="Arial"/>
                <w:bCs/>
                <w:lang w:val="x-none"/>
              </w:rPr>
              <w:t>El proveedor en coordinación con el Fiscal de Servicio deberá realizar la activación de la suscripción en un plazo de q</w:t>
            </w:r>
            <w:r w:rsidRPr="00E34A35">
              <w:rPr>
                <w:rFonts w:ascii="Arial" w:hAnsi="Arial" w:cs="Arial"/>
                <w:bCs/>
              </w:rPr>
              <w:t>uince</w:t>
            </w:r>
            <w:r w:rsidRPr="00E34A35">
              <w:rPr>
                <w:rFonts w:ascii="Arial" w:hAnsi="Arial" w:cs="Arial"/>
                <w:bCs/>
                <w:lang w:val="x-none"/>
              </w:rPr>
              <w:t xml:space="preserve"> (</w:t>
            </w:r>
            <w:r w:rsidRPr="00E34A35">
              <w:rPr>
                <w:rFonts w:ascii="Arial" w:hAnsi="Arial" w:cs="Arial"/>
                <w:bCs/>
              </w:rPr>
              <w:t>15</w:t>
            </w:r>
            <w:r w:rsidRPr="00E34A35">
              <w:rPr>
                <w:rFonts w:ascii="Arial" w:hAnsi="Arial" w:cs="Arial"/>
                <w:bCs/>
                <w:lang w:val="x-none"/>
              </w:rPr>
              <w:t>) días calendario computable  a partir de la fecha de inicio señalada en la Orden de Proceder</w:t>
            </w:r>
            <w:r w:rsidRPr="00E34A35">
              <w:rPr>
                <w:rFonts w:ascii="Arial" w:hAnsi="Arial" w:cs="Arial"/>
                <w:bCs/>
              </w:rPr>
              <w:t xml:space="preserve">. </w:t>
            </w:r>
          </w:p>
          <w:p w:rsidR="008A7370" w:rsidRPr="008A7370" w:rsidRDefault="008A7370" w:rsidP="00661035">
            <w:pPr>
              <w:jc w:val="both"/>
              <w:rPr>
                <w:rFonts w:ascii="Arial" w:hAnsi="Arial" w:cs="Arial"/>
                <w:sz w:val="10"/>
              </w:rPr>
            </w:pPr>
          </w:p>
          <w:p w:rsidR="008A7370" w:rsidRPr="00967E53" w:rsidRDefault="008A7370" w:rsidP="00661035">
            <w:pPr>
              <w:jc w:val="both"/>
              <w:rPr>
                <w:rFonts w:ascii="Arial" w:hAnsi="Arial" w:cs="Arial"/>
                <w:lang w:val="es-BO"/>
              </w:rPr>
            </w:pPr>
            <w:r w:rsidRPr="00E34A35">
              <w:rPr>
                <w:rFonts w:ascii="Arial" w:hAnsi="Arial" w:cs="Arial"/>
                <w:b/>
                <w:bCs/>
              </w:rPr>
              <w:t xml:space="preserve">Vigencia de las suscripciones al servicio: </w:t>
            </w:r>
            <w:r w:rsidRPr="00E34A35">
              <w:rPr>
                <w:rFonts w:ascii="Arial" w:hAnsi="Arial" w:cs="Arial"/>
                <w:bCs/>
              </w:rPr>
              <w:t>Dos (2) años calendario, computable a partir de la fecha de inicio señalada en la orden de proceder.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967E53" w:rsidTr="008A7370">
        <w:trPr>
          <w:trHeight w:val="664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967E53" w:rsidTr="00661035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 servicio será prestado en instaladores del Banco Central de Bolivia ubicado en la calle Ayacucho y Mercado de la ciudad de La Paz, además en el sitio alterno de Procesamiento (SAP) del BCB.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967E53" w:rsidTr="00661035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967E53" w:rsidTr="0066103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370" w:rsidRPr="00967E53" w:rsidTr="0066103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A7370" w:rsidRPr="00967E53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5F2D67" w:rsidRDefault="008A7370" w:rsidP="00661035">
            <w:pPr>
              <w:jc w:val="both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El proponente adjudicado deberá constituir la garantía de cumplimiento de contrato por el 7%  del monto del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F75995" w:rsidTr="008A7370">
        <w:trPr>
          <w:trHeight w:val="235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F75995" w:rsidRDefault="008A7370" w:rsidP="0066103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7370" w:rsidRPr="00F75995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F75995" w:rsidRDefault="008A7370" w:rsidP="00661035">
            <w:pPr>
              <w:rPr>
                <w:rFonts w:ascii="Arial" w:hAnsi="Arial" w:cs="Arial"/>
                <w:lang w:val="es-BO"/>
              </w:rPr>
            </w:pPr>
          </w:p>
        </w:tc>
      </w:tr>
      <w:tr w:rsidR="008A7370" w:rsidRPr="00F75995" w:rsidTr="0066103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A7370" w:rsidRPr="00F75995" w:rsidTr="0066103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F75995" w:rsidRDefault="008A7370" w:rsidP="0066103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A7370" w:rsidRPr="000E268F" w:rsidRDefault="008A7370" w:rsidP="008A7370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A7370" w:rsidRPr="00A40276" w:rsidTr="0066103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A7370" w:rsidRPr="00A40276" w:rsidRDefault="008A7370" w:rsidP="0066103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D3A48" w:rsidRDefault="008A7370" w:rsidP="0066103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</w:p>
        </w:tc>
      </w:tr>
      <w:tr w:rsidR="008A7370" w:rsidRPr="00A40276" w:rsidTr="00661035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A40276" w:rsidRDefault="008A7370" w:rsidP="0066103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A7370" w:rsidRPr="00A40276" w:rsidRDefault="008A7370" w:rsidP="006610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A7370" w:rsidRPr="00A40276" w:rsidTr="00661035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A7370" w:rsidRPr="00A40276" w:rsidRDefault="008A7370" w:rsidP="0066103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7370" w:rsidRPr="000D0D93" w:rsidRDefault="008A7370" w:rsidP="00661035">
            <w:pPr>
              <w:rPr>
                <w:rFonts w:ascii="Arial" w:hAnsi="Arial" w:cs="Arial"/>
                <w:b/>
              </w:rPr>
            </w:pPr>
            <w:r w:rsidRPr="000D0D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A7370" w:rsidRPr="00A40276" w:rsidRDefault="008A7370" w:rsidP="0066103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</w:p>
        </w:tc>
      </w:tr>
      <w:tr w:rsidR="008A7370" w:rsidRPr="00A40276" w:rsidTr="00661035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103827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A7370" w:rsidRPr="00967E53" w:rsidTr="0066103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8A7370" w:rsidRPr="00967E53" w:rsidRDefault="008A7370" w:rsidP="00661035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</w:rPr>
            </w:pPr>
          </w:p>
        </w:tc>
      </w:tr>
      <w:tr w:rsidR="008A7370" w:rsidRPr="00967E53" w:rsidTr="00661035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</w:rPr>
            </w:pPr>
          </w:p>
        </w:tc>
      </w:tr>
      <w:tr w:rsidR="008A7370" w:rsidRPr="00A40276" w:rsidTr="00661035">
        <w:tc>
          <w:tcPr>
            <w:tcW w:w="1558" w:type="dxa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8A7370" w:rsidRPr="00A40276" w:rsidRDefault="008A7370" w:rsidP="0066103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A7370" w:rsidRPr="00A40276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370" w:rsidRPr="00A40276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8A7370" w:rsidRPr="00A40276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A7370" w:rsidRPr="00A40276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8A7370" w:rsidRPr="00A40276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7370" w:rsidRPr="00545778" w:rsidTr="00661035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8A7370" w:rsidRPr="00545778" w:rsidRDefault="008A7370" w:rsidP="008A7370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A7370" w:rsidRPr="00A40276" w:rsidTr="008A7370">
        <w:trPr>
          <w:trHeight w:val="584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A7370" w:rsidRPr="00765F1B" w:rsidRDefault="008A7370" w:rsidP="00661035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A7370" w:rsidRPr="00765F1B" w:rsidRDefault="008A7370" w:rsidP="008A7370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8A7370" w:rsidRPr="00A40276" w:rsidRDefault="008A7370" w:rsidP="0066103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A7370" w:rsidRPr="00545778" w:rsidTr="0066103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545778" w:rsidRDefault="008A7370" w:rsidP="0066103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7370" w:rsidRPr="00967E53" w:rsidTr="00661035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370" w:rsidRPr="00967E53" w:rsidRDefault="008A7370" w:rsidP="00661035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967E53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967E53" w:rsidRDefault="008A7370" w:rsidP="00661035">
            <w:pPr>
              <w:rPr>
                <w:rFonts w:ascii="Arial" w:hAnsi="Arial" w:cs="Arial"/>
              </w:rPr>
            </w:pPr>
          </w:p>
        </w:tc>
      </w:tr>
      <w:tr w:rsidR="008A7370" w:rsidRPr="00545778" w:rsidTr="0066103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545778" w:rsidRDefault="008A7370" w:rsidP="0066103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7370" w:rsidRPr="00A40276" w:rsidTr="0066103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8A7370" w:rsidRDefault="008A7370" w:rsidP="0066103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8A7370" w:rsidRDefault="008A7370" w:rsidP="006610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8A7370" w:rsidRPr="00545778" w:rsidRDefault="008A7370" w:rsidP="0066103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8A7370" w:rsidRPr="00A40276" w:rsidRDefault="008A7370" w:rsidP="00661035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8A7370" w:rsidRPr="00A40276" w:rsidRDefault="008A7370" w:rsidP="0066103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8A7370" w:rsidRPr="00A40276" w:rsidRDefault="008A7370" w:rsidP="0066103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8A7370" w:rsidRPr="00A40276" w:rsidRDefault="008A7370" w:rsidP="0066103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8A7370" w:rsidRPr="00A40276" w:rsidRDefault="008A7370" w:rsidP="0066103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8A7370" w:rsidRPr="00A40276" w:rsidRDefault="008A7370" w:rsidP="0066103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8A7370" w:rsidRPr="00A40276" w:rsidRDefault="008A7370" w:rsidP="0066103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A7370" w:rsidRPr="00A40276" w:rsidTr="00661035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A50260" w:rsidRDefault="008A7370" w:rsidP="00661035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370" w:rsidRPr="00A40276" w:rsidRDefault="008A7370" w:rsidP="006610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A40276" w:rsidRDefault="008A7370" w:rsidP="00661035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 w:val="14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370" w:rsidRPr="00A40276" w:rsidRDefault="008A7370" w:rsidP="006610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A40276" w:rsidRDefault="008A7370" w:rsidP="00661035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</w:p>
        </w:tc>
      </w:tr>
      <w:tr w:rsidR="008A7370" w:rsidRPr="00A40276" w:rsidTr="00661035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E34A35" w:rsidRDefault="008A7370" w:rsidP="0066103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E34A35">
              <w:rPr>
                <w:rFonts w:ascii="Arial" w:hAnsi="Arial" w:cs="Arial"/>
                <w:sz w:val="14"/>
                <w:szCs w:val="13"/>
              </w:rPr>
              <w:t>Miguel Ángel Pacheco Cardozo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370" w:rsidRPr="00E34A35" w:rsidRDefault="008A7370" w:rsidP="0066103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E34A35" w:rsidRDefault="008A7370" w:rsidP="0066103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E34A35">
              <w:rPr>
                <w:rFonts w:ascii="Arial" w:hAnsi="Arial" w:cs="Arial"/>
                <w:sz w:val="14"/>
                <w:szCs w:val="13"/>
              </w:rPr>
              <w:t xml:space="preserve">Jefe del Dpto. de Seguridad y Continuidad Informática </w:t>
            </w:r>
            <w:proofErr w:type="spellStart"/>
            <w:r w:rsidRPr="00E34A35">
              <w:rPr>
                <w:rFonts w:ascii="Arial" w:hAnsi="Arial" w:cs="Arial"/>
                <w:sz w:val="14"/>
                <w:szCs w:val="13"/>
              </w:rPr>
              <w:t>a.i.</w:t>
            </w:r>
            <w:proofErr w:type="spellEnd"/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370" w:rsidRPr="00E34A35" w:rsidRDefault="008A7370" w:rsidP="0066103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E34A35" w:rsidRDefault="008A7370" w:rsidP="0066103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E34A35">
              <w:rPr>
                <w:rFonts w:ascii="Arial" w:hAnsi="Arial" w:cs="Arial"/>
                <w:sz w:val="14"/>
                <w:szCs w:val="13"/>
              </w:rPr>
              <w:t>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</w:p>
        </w:tc>
      </w:tr>
      <w:tr w:rsidR="008A7370" w:rsidRPr="00545778" w:rsidTr="00661035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545778" w:rsidRDefault="008A7370" w:rsidP="00661035">
            <w:pPr>
              <w:rPr>
                <w:rFonts w:ascii="Arial" w:hAnsi="Arial" w:cs="Arial"/>
                <w:sz w:val="6"/>
              </w:rPr>
            </w:pPr>
          </w:p>
        </w:tc>
      </w:tr>
      <w:tr w:rsidR="008A7370" w:rsidRPr="00A40276" w:rsidTr="00661035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A7370" w:rsidRPr="00A40276" w:rsidRDefault="008A7370" w:rsidP="0066103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FC2F68" w:rsidRDefault="008A7370" w:rsidP="00661035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8A7370" w:rsidRPr="0006032F" w:rsidRDefault="008A7370" w:rsidP="00661035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8A7370" w:rsidRPr="00A40276" w:rsidRDefault="008A7370" w:rsidP="0066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1120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A40276" w:rsidRDefault="008A7370" w:rsidP="00661035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7370" w:rsidRPr="0006032F" w:rsidRDefault="008A7370" w:rsidP="00661035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516AF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8A7370" w:rsidRPr="0006032F" w:rsidRDefault="008A7370" w:rsidP="00661035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8A7370" w:rsidRPr="0006032F" w:rsidRDefault="008A7370" w:rsidP="00661035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mpacheco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8A7370" w:rsidRPr="00A40276" w:rsidRDefault="008A7370" w:rsidP="00661035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A7370" w:rsidRPr="00A40276" w:rsidRDefault="008A7370" w:rsidP="00661035">
            <w:pPr>
              <w:rPr>
                <w:rFonts w:ascii="Arial" w:hAnsi="Arial" w:cs="Arial"/>
              </w:rPr>
            </w:pPr>
          </w:p>
        </w:tc>
      </w:tr>
      <w:tr w:rsidR="008A7370" w:rsidRPr="00545778" w:rsidTr="00661035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7370" w:rsidRPr="00A40276" w:rsidTr="00661035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A7370" w:rsidRPr="00CB5BDF" w:rsidRDefault="008A7370" w:rsidP="00661035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8A7370" w:rsidRPr="00CB5BDF" w:rsidRDefault="008A7370" w:rsidP="0066103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E34A35" w:rsidRDefault="008A7370" w:rsidP="00661035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Número de Cuenta: 10000041173216</w:t>
            </w:r>
          </w:p>
          <w:p w:rsidR="008A7370" w:rsidRPr="00E34A35" w:rsidRDefault="008A7370" w:rsidP="00661035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Banco: Banco Unión S.A.</w:t>
            </w:r>
          </w:p>
          <w:p w:rsidR="008A7370" w:rsidRPr="00E34A35" w:rsidRDefault="008A7370" w:rsidP="00661035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Titular: Tesoro General de la Nación</w:t>
            </w:r>
          </w:p>
          <w:p w:rsidR="008A7370" w:rsidRPr="00E34A35" w:rsidRDefault="008A7370" w:rsidP="00661035">
            <w:pPr>
              <w:rPr>
                <w:rFonts w:ascii="Arial" w:hAnsi="Arial" w:cs="Arial"/>
                <w:sz w:val="14"/>
                <w:highlight w:val="yellow"/>
              </w:rPr>
            </w:pPr>
            <w:r w:rsidRPr="00E34A35">
              <w:rPr>
                <w:rFonts w:ascii="Arial" w:hAnsi="Arial" w:cs="Arial"/>
                <w:sz w:val="14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A7370" w:rsidRPr="00A40276" w:rsidRDefault="008A7370" w:rsidP="0066103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A7370" w:rsidRPr="00545778" w:rsidTr="00661035">
        <w:trPr>
          <w:trHeight w:val="349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A7370" w:rsidRPr="00545778" w:rsidRDefault="008A7370" w:rsidP="0066103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A7370" w:rsidRDefault="008A7370" w:rsidP="008A7370">
      <w:pPr>
        <w:pStyle w:val="Puesto"/>
        <w:numPr>
          <w:ilvl w:val="0"/>
          <w:numId w:val="13"/>
        </w:numPr>
        <w:spacing w:before="0" w:after="0"/>
        <w:jc w:val="both"/>
      </w:pPr>
      <w:bookmarkStart w:id="2" w:name="_Toc94724713"/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2"/>
    </w:p>
    <w:p w:rsidR="008A7370" w:rsidRDefault="008A7370" w:rsidP="008A7370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8A7370" w:rsidRPr="00A40276" w:rsidTr="00661035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A7370" w:rsidRPr="00492D3E" w:rsidRDefault="008A7370" w:rsidP="00661035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A7370" w:rsidRPr="00492D3E" w:rsidRDefault="008A7370" w:rsidP="008A737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8A7370" w:rsidRPr="00492D3E" w:rsidRDefault="008A7370" w:rsidP="008A737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8A7370" w:rsidRPr="00492D3E" w:rsidRDefault="008A7370" w:rsidP="008A7370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A7370" w:rsidRPr="00492D3E" w:rsidRDefault="008A7370" w:rsidP="00661035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A7370" w:rsidRPr="00492D3E" w:rsidRDefault="008A7370" w:rsidP="008A737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A7370" w:rsidRPr="00492D3E" w:rsidRDefault="008A7370" w:rsidP="008A7370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A7370" w:rsidRPr="00492D3E" w:rsidRDefault="008A7370" w:rsidP="00661035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A7370" w:rsidRDefault="008A7370" w:rsidP="008A7370">
      <w:pPr>
        <w:rPr>
          <w:lang w:val="es-BO"/>
        </w:rPr>
      </w:pPr>
    </w:p>
    <w:p w:rsidR="008A7370" w:rsidRPr="004B26AD" w:rsidRDefault="008A7370" w:rsidP="008A737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A7370" w:rsidRPr="000C6821" w:rsidRDefault="008A7370" w:rsidP="008A7370">
      <w:pPr>
        <w:rPr>
          <w:rFonts w:cs="Arial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9"/>
        <w:gridCol w:w="14"/>
        <w:gridCol w:w="7"/>
        <w:gridCol w:w="266"/>
        <w:gridCol w:w="70"/>
        <w:gridCol w:w="126"/>
        <w:gridCol w:w="134"/>
        <w:gridCol w:w="113"/>
        <w:gridCol w:w="134"/>
        <w:gridCol w:w="360"/>
        <w:gridCol w:w="134"/>
        <w:gridCol w:w="529"/>
        <w:gridCol w:w="125"/>
        <w:gridCol w:w="16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8A7370" w:rsidRPr="000C6821" w:rsidTr="00661035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A7370" w:rsidRPr="000C6821" w:rsidTr="00661035">
        <w:trPr>
          <w:trHeight w:val="284"/>
          <w:tblHeader/>
        </w:trPr>
        <w:tc>
          <w:tcPr>
            <w:tcW w:w="150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13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1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A7370" w:rsidRPr="000C6821" w:rsidTr="00661035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59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8A7370">
        <w:trPr>
          <w:trHeight w:val="308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8A7370"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8A7370">
        <w:trPr>
          <w:trHeight w:val="302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8A7370">
        <w:trPr>
          <w:trHeight w:val="282"/>
        </w:trPr>
        <w:tc>
          <w:tcPr>
            <w:tcW w:w="1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4956B1" w:rsidRDefault="008A7370" w:rsidP="00661035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8A7370" w:rsidRPr="004956B1" w:rsidRDefault="008A7370" w:rsidP="00661035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(cuando corresponda)</w:t>
            </w:r>
          </w:p>
          <w:p w:rsidR="008A7370" w:rsidRPr="004956B1" w:rsidRDefault="008A7370" w:rsidP="00661035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8A7370" w:rsidRPr="004956B1" w:rsidRDefault="008A7370" w:rsidP="00661035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8A7370" w:rsidRPr="004956B1" w:rsidRDefault="008A7370" w:rsidP="00661035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8A7370" w:rsidRPr="008A7370" w:rsidRDefault="008A7370" w:rsidP="00661035">
            <w:pPr>
              <w:rPr>
                <w:rFonts w:ascii="Arial" w:hAnsi="Arial" w:cs="Arial"/>
                <w:b/>
                <w:bCs/>
                <w:sz w:val="3"/>
                <w:szCs w:val="13"/>
                <w:lang w:eastAsia="en-US"/>
              </w:rPr>
            </w:pPr>
          </w:p>
          <w:p w:rsidR="008A7370" w:rsidRPr="004956B1" w:rsidRDefault="008A7370" w:rsidP="008A7370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8A7370" w:rsidRPr="00967E53" w:rsidRDefault="008A7370" w:rsidP="0066103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87393" w:rsidRDefault="008A7370" w:rsidP="0066103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8A7370">
        <w:trPr>
          <w:trHeight w:val="132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967E53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8A64C3" w:rsidRDefault="008A7370" w:rsidP="00661035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8A7370" w:rsidRPr="00B73EFE" w:rsidRDefault="008A7370" w:rsidP="00661035">
            <w:pPr>
              <w:widowControl w:val="0"/>
              <w:jc w:val="both"/>
              <w:rPr>
                <w:rStyle w:val="Hipervnculo"/>
                <w:sz w:val="14"/>
              </w:rPr>
            </w:pPr>
            <w:r w:rsidRPr="00B73EFE">
              <w:rPr>
                <w:rStyle w:val="Hipervnculo"/>
                <w:sz w:val="14"/>
              </w:rPr>
              <w:t>https://bcb-gob-bo.zoom.us/j/82623942020?pwd=RTVzUTIvYmFoeUhJYlFXNm1ySXZydz09</w:t>
            </w:r>
          </w:p>
          <w:p w:rsidR="008A7370" w:rsidRPr="00B73EFE" w:rsidRDefault="008A7370" w:rsidP="00661035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8A7370" w:rsidRPr="00B73EFE" w:rsidRDefault="008A7370" w:rsidP="00661035">
            <w:pPr>
              <w:widowControl w:val="0"/>
              <w:jc w:val="both"/>
              <w:rPr>
                <w:rStyle w:val="Hipervnculo"/>
                <w:sz w:val="14"/>
              </w:rPr>
            </w:pPr>
            <w:r w:rsidRPr="00B73EFE">
              <w:rPr>
                <w:rStyle w:val="Hipervnculo"/>
                <w:sz w:val="14"/>
              </w:rPr>
              <w:t>ID de reunión: 826 2394 2020</w:t>
            </w:r>
          </w:p>
          <w:p w:rsidR="008A7370" w:rsidRPr="000C6821" w:rsidRDefault="008A7370" w:rsidP="0066103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B73EFE">
              <w:rPr>
                <w:rStyle w:val="Hipervnculo"/>
                <w:sz w:val="14"/>
              </w:rPr>
              <w:t>Código de acceso: 222862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7370" w:rsidRPr="000C6821" w:rsidTr="00661035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7370" w:rsidRPr="000C6821" w:rsidTr="00661035">
        <w:trPr>
          <w:trHeight w:val="31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291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A7370" w:rsidRPr="000C6821" w:rsidTr="0066103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0C6821" w:rsidTr="00661035">
        <w:trPr>
          <w:trHeight w:val="304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7370" w:rsidRPr="000C6821" w:rsidRDefault="008A7370" w:rsidP="0066103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A7370" w:rsidRPr="000C6821" w:rsidRDefault="008A7370" w:rsidP="0066103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A7370" w:rsidRPr="00492D3E" w:rsidTr="00661035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A7370" w:rsidRPr="00492D3E" w:rsidRDefault="008A7370" w:rsidP="00661035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3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A7370" w:rsidRPr="00492D3E" w:rsidRDefault="008A7370" w:rsidP="00661035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7370" w:rsidRPr="00492D3E" w:rsidRDefault="008A7370" w:rsidP="0066103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79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70" w:rsidRPr="00492D3E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70" w:rsidRPr="00492D3E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7370" w:rsidRPr="00492D3E" w:rsidRDefault="008A7370" w:rsidP="0066103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A7370" w:rsidRPr="00492D3E" w:rsidRDefault="008A7370" w:rsidP="00661035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8A7370" w:rsidRDefault="008A7370" w:rsidP="008A7370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8A7370" w:rsidRPr="0060646D" w:rsidRDefault="008A7370" w:rsidP="008A7370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8A7370" w:rsidRDefault="008A7370" w:rsidP="008A7370">
      <w:pPr>
        <w:rPr>
          <w:lang w:val="es-BO"/>
        </w:rPr>
      </w:pPr>
    </w:p>
    <w:p w:rsidR="008A7370" w:rsidRDefault="008A7370" w:rsidP="008A7370">
      <w:pPr>
        <w:rPr>
          <w:rFonts w:cs="Arial"/>
          <w:i/>
        </w:rPr>
      </w:pPr>
    </w:p>
    <w:p w:rsidR="005B5F41" w:rsidRDefault="005B5F41" w:rsidP="008A7370">
      <w:pPr>
        <w:rPr>
          <w:lang w:val="es-BO"/>
        </w:rPr>
      </w:pPr>
    </w:p>
    <w:sectPr w:rsidR="005B5F41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AFC6D33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254A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A7370"/>
    <w:rsid w:val="008C12CB"/>
    <w:rsid w:val="008D689C"/>
    <w:rsid w:val="008E1048"/>
    <w:rsid w:val="00974619"/>
    <w:rsid w:val="00986F72"/>
    <w:rsid w:val="009D3697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7851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3</cp:revision>
  <cp:lastPrinted>2016-11-23T23:13:00Z</cp:lastPrinted>
  <dcterms:created xsi:type="dcterms:W3CDTF">2022-11-15T23:16:00Z</dcterms:created>
  <dcterms:modified xsi:type="dcterms:W3CDTF">2022-11-15T23:16:00Z</dcterms:modified>
</cp:coreProperties>
</file>