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79"/>
      </w:tblGrid>
      <w:tr w:rsidR="00C92940" w:rsidRPr="0058012F" w:rsidTr="006B4471">
        <w:trPr>
          <w:trHeight w:val="139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6B4471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727685952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B4471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6B4471">
              <w:rPr>
                <w:rFonts w:ascii="Arial" w:hAnsi="Arial" w:cs="Arial"/>
                <w:color w:val="FFFFFF"/>
                <w:sz w:val="18"/>
                <w:lang w:val="pt-BR"/>
              </w:rPr>
              <w:t>76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2E3BAC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B4471" w:rsidRDefault="006B4471" w:rsidP="006B4471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lang w:val="es-ES"/>
        </w:rPr>
        <w:t xml:space="preserve">CONVOCATORIA </w:t>
      </w:r>
      <w:r w:rsidRPr="00A40276">
        <w:rPr>
          <w:rFonts w:ascii="Verdana" w:hAnsi="Verdana"/>
          <w:sz w:val="18"/>
        </w:rPr>
        <w:t>Y DATOS GENERALES DEL PROCESO DE CONTRATACIÓN</w:t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6B4471" w:rsidRPr="00F75995" w:rsidTr="006B4471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B4471" w:rsidRPr="00F75995" w:rsidRDefault="006B4471" w:rsidP="006B4471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6B4471" w:rsidRPr="00F75995" w:rsidTr="006B4471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F75995" w:rsidRDefault="006B4471" w:rsidP="006B4471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6B4471" w:rsidRPr="00F75995" w:rsidTr="006B4471">
        <w:trPr>
          <w:trHeight w:val="2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F75995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3026CE" w:rsidRDefault="006B4471" w:rsidP="006B447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F75995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F75995" w:rsidTr="006B4471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6B4471" w:rsidRPr="00F75995" w:rsidRDefault="006B4471" w:rsidP="006B447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967E53" w:rsidTr="006B4471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ANPE – P Nº 07</w:t>
            </w:r>
            <w:r>
              <w:rPr>
                <w:rFonts w:ascii="Arial" w:hAnsi="Arial" w:cs="Arial"/>
                <w:lang w:val="es-BO"/>
              </w:rPr>
              <w:t>6</w:t>
            </w:r>
            <w:r w:rsidRPr="00967E53">
              <w:rPr>
                <w:rFonts w:ascii="Arial" w:hAnsi="Arial" w:cs="Arial"/>
                <w:lang w:val="es-BO"/>
              </w:rPr>
              <w:t>/2022-1C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967E53" w:rsidTr="006B4471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967E53" w:rsidTr="006B4471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967E53" w:rsidTr="006B4471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471" w:rsidRPr="00967E53" w:rsidRDefault="006B4471" w:rsidP="006B447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471" w:rsidRPr="00967E53" w:rsidRDefault="006B4471" w:rsidP="006B447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471" w:rsidRPr="00967E53" w:rsidRDefault="006B4471" w:rsidP="006B447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B4471" w:rsidRPr="00967E53" w:rsidTr="006B447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967E53" w:rsidTr="006B4471">
        <w:trPr>
          <w:trHeight w:val="43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FOTOCOPIADO DE DOCUMENTOS EN OFICINAS DEL BCB – LA PAZ - 2023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967E53" w:rsidTr="006B4471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967E53" w:rsidTr="006B4471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6B4471" w:rsidRPr="00967E53" w:rsidTr="006B4471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6B4471" w:rsidRPr="00967E53" w:rsidTr="006B4471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6B4471" w:rsidRPr="00967E53" w:rsidTr="006B4471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967E53" w:rsidTr="006B447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6B4471" w:rsidRPr="00967E53" w:rsidTr="006B4471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967E53" w:rsidTr="006B4471">
        <w:trPr>
          <w:trHeight w:val="3968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72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8"/>
              <w:gridCol w:w="1603"/>
              <w:gridCol w:w="1274"/>
            </w:tblGrid>
            <w:tr w:rsidR="006B4471" w:rsidRPr="007E407A" w:rsidTr="006B4471">
              <w:trPr>
                <w:trHeight w:val="259"/>
              </w:trPr>
              <w:tc>
                <w:tcPr>
                  <w:tcW w:w="7295" w:type="dxa"/>
                  <w:gridSpan w:val="3"/>
                  <w:tcBorders>
                    <w:top w:val="single" w:sz="8" w:space="0" w:color="999999"/>
                    <w:left w:val="single" w:sz="8" w:space="0" w:color="999999"/>
                    <w:bottom w:val="single" w:sz="12" w:space="0" w:color="666666"/>
                    <w:right w:val="single" w:sz="8" w:space="0" w:color="999999"/>
                  </w:tcBorders>
                  <w:shd w:val="clear" w:color="000000" w:fill="F2F2F2"/>
                  <w:vAlign w:val="center"/>
                </w:tcPr>
                <w:p w:rsidR="006B4471" w:rsidRPr="007E407A" w:rsidRDefault="006B4471" w:rsidP="006B4471">
                  <w:pPr>
                    <w:jc w:val="both"/>
                    <w:rPr>
                      <w:rFonts w:ascii="Arial" w:hAnsi="Arial" w:cs="Arial"/>
                      <w:b/>
                      <w:bCs/>
                      <w:sz w:val="12"/>
                      <w:lang w:val="es-BO" w:eastAsia="es-BO"/>
                    </w:rPr>
                  </w:pPr>
                  <w:r w:rsidRPr="00887404">
                    <w:rPr>
                      <w:rFonts w:asciiTheme="minorHAnsi" w:hAnsiTheme="minorHAnsi" w:cstheme="minorHAnsi"/>
                      <w:b/>
                      <w:bCs/>
                      <w:sz w:val="12"/>
                      <w:lang w:val="es-BO"/>
                    </w:rPr>
                    <w:t>Los tipos de reproducción señalados a continuación deben formar parte de la propuesta económica y serán considerados en la determinación del PEMB:</w:t>
                  </w:r>
                </w:p>
              </w:tc>
            </w:tr>
            <w:tr w:rsidR="006B4471" w:rsidRPr="007E407A" w:rsidTr="006B4471">
              <w:trPr>
                <w:trHeight w:val="259"/>
              </w:trPr>
              <w:tc>
                <w:tcPr>
                  <w:tcW w:w="4418" w:type="dxa"/>
                  <w:tcBorders>
                    <w:top w:val="single" w:sz="8" w:space="0" w:color="999999"/>
                    <w:left w:val="single" w:sz="8" w:space="0" w:color="999999"/>
                    <w:bottom w:val="single" w:sz="12" w:space="0" w:color="666666"/>
                    <w:right w:val="single" w:sz="8" w:space="0" w:color="999999"/>
                  </w:tcBorders>
                  <w:shd w:val="clear" w:color="000000" w:fill="F2F2F2"/>
                  <w:vAlign w:val="center"/>
                  <w:hideMark/>
                </w:tcPr>
                <w:p w:rsidR="006B4471" w:rsidRPr="007E407A" w:rsidRDefault="006B4471" w:rsidP="006B4471">
                  <w:pPr>
                    <w:jc w:val="center"/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>Tipos de reproducción requeridos</w:t>
                  </w:r>
                </w:p>
              </w:tc>
              <w:tc>
                <w:tcPr>
                  <w:tcW w:w="1603" w:type="dxa"/>
                  <w:tcBorders>
                    <w:top w:val="single" w:sz="8" w:space="0" w:color="999999"/>
                    <w:left w:val="nil"/>
                    <w:bottom w:val="single" w:sz="12" w:space="0" w:color="666666"/>
                    <w:right w:val="nil"/>
                  </w:tcBorders>
                  <w:shd w:val="clear" w:color="000000" w:fill="F2F2F2"/>
                  <w:vAlign w:val="center"/>
                  <w:hideMark/>
                </w:tcPr>
                <w:p w:rsidR="006B4471" w:rsidRPr="007E407A" w:rsidRDefault="006B4471" w:rsidP="006B4471">
                  <w:pPr>
                    <w:jc w:val="center"/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>Cantidad estimada por 12 meses</w:t>
                  </w:r>
                </w:p>
              </w:tc>
              <w:tc>
                <w:tcPr>
                  <w:tcW w:w="127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999999"/>
                  </w:tcBorders>
                  <w:shd w:val="clear" w:color="000000" w:fill="F2F2F2"/>
                  <w:vAlign w:val="center"/>
                  <w:hideMark/>
                </w:tcPr>
                <w:p w:rsidR="006B4471" w:rsidRPr="007E407A" w:rsidRDefault="006B4471" w:rsidP="006B4471">
                  <w:pPr>
                    <w:jc w:val="center"/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>P</w:t>
                  </w:r>
                  <w:r w:rsidRPr="00887404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>recio</w:t>
                  </w:r>
                  <w:r w:rsidRPr="007E407A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 xml:space="preserve"> R</w:t>
                  </w:r>
                  <w:r w:rsidRPr="00887404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>eferencial Unitario</w:t>
                  </w:r>
                </w:p>
              </w:tc>
            </w:tr>
            <w:tr w:rsidR="006B4471" w:rsidRPr="007E407A" w:rsidTr="006B4471">
              <w:trPr>
                <w:trHeight w:val="83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1.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Fotocopias en tamaño carta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  <w:t>672.000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0,3</w:t>
                  </w:r>
                </w:p>
              </w:tc>
            </w:tr>
            <w:tr w:rsidR="006B4471" w:rsidRPr="007E407A" w:rsidTr="006B4471">
              <w:trPr>
                <w:trHeight w:val="67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2.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Fotocopias en tamaño oficio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  <w:t>106.800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0,3</w:t>
                  </w:r>
                </w:p>
              </w:tc>
            </w:tr>
            <w:tr w:rsidR="006B4471" w:rsidRPr="007E407A" w:rsidTr="006B4471">
              <w:trPr>
                <w:trHeight w:val="41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3.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Fotocopias a color en todos los  tamaños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  <w:t>1.200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0,3</w:t>
                  </w:r>
                </w:p>
              </w:tc>
            </w:tr>
            <w:tr w:rsidR="006B4471" w:rsidRPr="007E407A" w:rsidTr="006B4471">
              <w:trPr>
                <w:trHeight w:val="158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4.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Fotocopiado en Unidades Periféricas tamaño carta u oficio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  <w:t>564.000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0,3</w:t>
                  </w:r>
                </w:p>
              </w:tc>
            </w:tr>
            <w:tr w:rsidR="006B4471" w:rsidRPr="007E407A" w:rsidTr="006B4471">
              <w:trPr>
                <w:trHeight w:val="131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5.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Encuadernación con tapas plásticas de diferentes colores y espiral de diferentes medidas: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-</w:t>
                  </w:r>
                </w:p>
              </w:tc>
            </w:tr>
            <w:tr w:rsidR="006B4471" w:rsidRPr="007E407A" w:rsidTr="006B4471">
              <w:trPr>
                <w:trHeight w:val="94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5.1. Par de tapas tamaño carta u oficio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  <w:t>2.760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0,72</w:t>
                  </w:r>
                </w:p>
              </w:tc>
            </w:tr>
            <w:tr w:rsidR="006B4471" w:rsidRPr="007E407A" w:rsidTr="006B4471">
              <w:trPr>
                <w:trHeight w:val="67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 xml:space="preserve">        5.2. Espirales de diferentes diámetros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-</w:t>
                  </w:r>
                </w:p>
              </w:tc>
            </w:tr>
            <w:tr w:rsidR="006B4471" w:rsidRPr="007E407A" w:rsidTr="006B4471">
              <w:trPr>
                <w:trHeight w:val="41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nil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sz w:val="12"/>
                      <w:lang w:val="es-BO" w:eastAsia="es-BO"/>
                    </w:rPr>
                    <w:t>-</w:t>
                  </w:r>
                  <w:r w:rsidRPr="007E407A">
                    <w:rPr>
                      <w:rFonts w:asciiTheme="minorHAnsi" w:hAnsiTheme="minorHAnsi" w:cstheme="minorHAnsi"/>
                      <w:sz w:val="12"/>
                      <w:szCs w:val="14"/>
                      <w:lang w:val="es-BO" w:eastAsia="es-BO"/>
                    </w:rPr>
                    <w:t xml:space="preserve">  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 xml:space="preserve">Del N° 7 al 17 </w:t>
                  </w:r>
                  <w:proofErr w:type="spellStart"/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mm.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  <w:t>1.620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0,36</w:t>
                  </w:r>
                </w:p>
              </w:tc>
            </w:tr>
            <w:tr w:rsidR="006B4471" w:rsidRPr="007E407A" w:rsidTr="006B4471">
              <w:trPr>
                <w:trHeight w:val="107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nil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sz w:val="12"/>
                      <w:lang w:val="es-BO" w:eastAsia="es-BO"/>
                    </w:rPr>
                    <w:t>-</w:t>
                  </w:r>
                  <w:r w:rsidRPr="007E407A">
                    <w:rPr>
                      <w:rFonts w:asciiTheme="minorHAnsi" w:hAnsiTheme="minorHAnsi" w:cstheme="minorHAnsi"/>
                      <w:sz w:val="12"/>
                      <w:szCs w:val="14"/>
                      <w:lang w:val="es-BO" w:eastAsia="es-BO"/>
                    </w:rPr>
                    <w:t xml:space="preserve">  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 xml:space="preserve">Del N° 20 al 25 </w:t>
                  </w:r>
                  <w:proofErr w:type="spellStart"/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mm.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  <w:t>360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0,48</w:t>
                  </w:r>
                </w:p>
              </w:tc>
            </w:tr>
            <w:tr w:rsidR="006B4471" w:rsidRPr="007E407A" w:rsidTr="006B4471">
              <w:trPr>
                <w:trHeight w:val="112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nil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sz w:val="12"/>
                      <w:lang w:val="es-BO" w:eastAsia="es-BO"/>
                    </w:rPr>
                    <w:t>-</w:t>
                  </w:r>
                  <w:r w:rsidRPr="007E407A">
                    <w:rPr>
                      <w:rFonts w:asciiTheme="minorHAnsi" w:hAnsiTheme="minorHAnsi" w:cstheme="minorHAnsi"/>
                      <w:sz w:val="12"/>
                      <w:szCs w:val="14"/>
                      <w:lang w:val="es-BO" w:eastAsia="es-BO"/>
                    </w:rPr>
                    <w:t xml:space="preserve">  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 xml:space="preserve">Del N° 29 al 40 </w:t>
                  </w:r>
                  <w:proofErr w:type="spellStart"/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mm.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  <w:t>420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0,60</w:t>
                  </w:r>
                </w:p>
              </w:tc>
            </w:tr>
            <w:tr w:rsidR="006B4471" w:rsidRPr="007E407A" w:rsidTr="006B4471">
              <w:trPr>
                <w:trHeight w:val="114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sz w:val="12"/>
                      <w:lang w:val="es-BO" w:eastAsia="es-BO"/>
                    </w:rPr>
                    <w:t>-</w:t>
                  </w:r>
                  <w:r w:rsidRPr="007E407A">
                    <w:rPr>
                      <w:rFonts w:asciiTheme="minorHAnsi" w:hAnsiTheme="minorHAnsi" w:cstheme="minorHAnsi"/>
                      <w:sz w:val="12"/>
                      <w:szCs w:val="14"/>
                      <w:lang w:val="es-BO" w:eastAsia="es-BO"/>
                    </w:rPr>
                    <w:t xml:space="preserve">  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 xml:space="preserve">Del N° 45 al 50 </w:t>
                  </w:r>
                  <w:proofErr w:type="spellStart"/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mm.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color w:val="000000"/>
                      <w:sz w:val="12"/>
                      <w:lang w:val="es-BO" w:eastAsia="es-BO"/>
                    </w:rPr>
                    <w:t>360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0,60</w:t>
                  </w:r>
                </w:p>
              </w:tc>
            </w:tr>
            <w:tr w:rsidR="006B4471" w:rsidRPr="007E407A" w:rsidTr="006B4471">
              <w:trPr>
                <w:trHeight w:val="353"/>
              </w:trPr>
              <w:tc>
                <w:tcPr>
                  <w:tcW w:w="7295" w:type="dxa"/>
                  <w:gridSpan w:val="3"/>
                  <w:tcBorders>
                    <w:top w:val="nil"/>
                    <w:left w:val="single" w:sz="8" w:space="0" w:color="999999"/>
                    <w:bottom w:val="single" w:sz="12" w:space="0" w:color="666666"/>
                    <w:right w:val="single" w:sz="8" w:space="0" w:color="999999"/>
                  </w:tcBorders>
                  <w:shd w:val="clear" w:color="000000" w:fill="F2F2F2"/>
                  <w:vAlign w:val="center"/>
                </w:tcPr>
                <w:p w:rsidR="006B4471" w:rsidRPr="007E407A" w:rsidRDefault="006B4471" w:rsidP="006B4471">
                  <w:pPr>
                    <w:pStyle w:val="Textoindependiente"/>
                    <w:spacing w:after="0"/>
                    <w:rPr>
                      <w:rFonts w:ascii="Arial" w:hAnsi="Arial" w:cs="Arial"/>
                      <w:b/>
                      <w:bCs/>
                      <w:sz w:val="12"/>
                      <w:lang w:val="es-BO" w:eastAsia="es-BO"/>
                    </w:rPr>
                  </w:pPr>
                  <w:r w:rsidRPr="00887404">
                    <w:rPr>
                      <w:rFonts w:asciiTheme="minorHAnsi" w:hAnsiTheme="minorHAnsi" w:cstheme="minorHAnsi"/>
                      <w:b/>
                      <w:bCs/>
                      <w:sz w:val="12"/>
                      <w:lang w:val="es-BO"/>
                    </w:rPr>
                    <w:t>Los tipos de reproducción señalados a continuación deben formar parte de la propuesta económica, sin embargo son referenciales y no serán considerados en la determinación del PEMB:</w:t>
                  </w:r>
                </w:p>
              </w:tc>
            </w:tr>
            <w:tr w:rsidR="006B4471" w:rsidRPr="007E407A" w:rsidTr="006B4471">
              <w:trPr>
                <w:trHeight w:val="121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12" w:space="0" w:color="666666"/>
                    <w:right w:val="single" w:sz="8" w:space="0" w:color="999999"/>
                  </w:tcBorders>
                  <w:shd w:val="clear" w:color="000000" w:fill="F2F2F2"/>
                  <w:vAlign w:val="center"/>
                  <w:hideMark/>
                </w:tcPr>
                <w:p w:rsidR="006B4471" w:rsidRPr="007E407A" w:rsidRDefault="006B4471" w:rsidP="006B4471">
                  <w:pPr>
                    <w:jc w:val="center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Tipos de reproducción requeridos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12" w:space="0" w:color="666666"/>
                    <w:right w:val="nil"/>
                  </w:tcBorders>
                  <w:shd w:val="clear" w:color="000000" w:fill="F2F2F2"/>
                  <w:vAlign w:val="center"/>
                  <w:hideMark/>
                </w:tcPr>
                <w:p w:rsidR="006B4471" w:rsidRPr="007E407A" w:rsidRDefault="006B4471" w:rsidP="006B4471">
                  <w:pPr>
                    <w:jc w:val="center"/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>Cantidad estimada por 12 meses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999999"/>
                  </w:tcBorders>
                  <w:shd w:val="clear" w:color="000000" w:fill="F2F2F2"/>
                  <w:vAlign w:val="center"/>
                  <w:hideMark/>
                </w:tcPr>
                <w:p w:rsidR="006B4471" w:rsidRPr="007E407A" w:rsidRDefault="006B4471" w:rsidP="006B4471">
                  <w:pPr>
                    <w:jc w:val="center"/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>P</w:t>
                  </w:r>
                  <w:r w:rsidRPr="00887404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>recio</w:t>
                  </w:r>
                  <w:r w:rsidRPr="007E407A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 xml:space="preserve"> R</w:t>
                  </w:r>
                  <w:r w:rsidRPr="00887404">
                    <w:rPr>
                      <w:rFonts w:ascii="Arial" w:hAnsi="Arial" w:cs="Arial"/>
                      <w:bCs/>
                      <w:sz w:val="12"/>
                      <w:lang w:val="es-BO" w:eastAsia="es-BO"/>
                    </w:rPr>
                    <w:t>eferencial Unitario</w:t>
                  </w:r>
                </w:p>
              </w:tc>
            </w:tr>
            <w:tr w:rsidR="006B4471" w:rsidRPr="007E407A" w:rsidTr="006B4471">
              <w:trPr>
                <w:trHeight w:val="87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1.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Copia de planos – costo por metro lineal.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168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9,60</w:t>
                  </w:r>
                </w:p>
              </w:tc>
            </w:tr>
            <w:tr w:rsidR="006B4471" w:rsidRPr="007E407A" w:rsidTr="006B4471">
              <w:trPr>
                <w:trHeight w:val="185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2.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Ampliación y reducción de planos.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192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9,60</w:t>
                  </w:r>
                </w:p>
              </w:tc>
            </w:tr>
            <w:tr w:rsidR="006B4471" w:rsidRPr="007E407A" w:rsidTr="006B4471">
              <w:trPr>
                <w:trHeight w:val="104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3.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Ampliación y reducción en blanco y negro.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1.512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0,30</w:t>
                  </w:r>
                </w:p>
              </w:tc>
            </w:tr>
            <w:tr w:rsidR="006B4471" w:rsidRPr="007E407A" w:rsidTr="006B4471">
              <w:trPr>
                <w:trHeight w:val="49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4.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Ampliación y reducción a color.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1.068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0,30</w:t>
                  </w:r>
                </w:p>
              </w:tc>
            </w:tr>
            <w:tr w:rsidR="006B4471" w:rsidRPr="007E407A" w:rsidTr="006B4471">
              <w:trPr>
                <w:trHeight w:val="137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5.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Duplicado digital en blanco y negro con calidad tipo offset.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1.608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0,30</w:t>
                  </w:r>
                </w:p>
              </w:tc>
            </w:tr>
            <w:tr w:rsidR="006B4471" w:rsidRPr="007E407A" w:rsidTr="006B4471">
              <w:trPr>
                <w:trHeight w:val="84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6.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Fotocopias en tamaño Doble carta, en blanco y negro.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660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0,36</w:t>
                  </w:r>
                </w:p>
              </w:tc>
            </w:tr>
            <w:tr w:rsidR="006B4471" w:rsidRPr="007E407A" w:rsidTr="006B4471">
              <w:trPr>
                <w:trHeight w:val="157"/>
              </w:trPr>
              <w:tc>
                <w:tcPr>
                  <w:tcW w:w="4418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both"/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</w:pP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7.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szCs w:val="14"/>
                      <w:lang w:val="es-BO" w:eastAsia="es-BO"/>
                    </w:rPr>
                    <w:t xml:space="preserve">     </w:t>
                  </w:r>
                  <w:r w:rsidRPr="007E407A">
                    <w:rPr>
                      <w:rFonts w:asciiTheme="minorHAnsi" w:hAnsiTheme="minorHAnsi" w:cstheme="minorHAnsi"/>
                      <w:bCs/>
                      <w:sz w:val="12"/>
                      <w:lang w:val="es-BO" w:eastAsia="es-BO"/>
                    </w:rPr>
                    <w:t>Fotocopias en tamaño Doble carta, a color.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7E407A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720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999999"/>
                  </w:tcBorders>
                  <w:shd w:val="clear" w:color="auto" w:fill="auto"/>
                  <w:noWrap/>
                  <w:vAlign w:val="bottom"/>
                  <w:hideMark/>
                </w:tcPr>
                <w:p w:rsidR="006B4471" w:rsidRPr="007E407A" w:rsidRDefault="006B4471" w:rsidP="006B4471">
                  <w:pPr>
                    <w:jc w:val="right"/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</w:pPr>
                  <w:r w:rsidRPr="007E407A">
                    <w:rPr>
                      <w:rFonts w:ascii="Calibri" w:hAnsi="Calibri" w:cs="Calibri"/>
                      <w:color w:val="000000"/>
                      <w:sz w:val="12"/>
                      <w:szCs w:val="22"/>
                      <w:lang w:val="es-BO" w:eastAsia="es-BO"/>
                    </w:rPr>
                    <w:t>0,60</w:t>
                  </w:r>
                </w:p>
              </w:tc>
            </w:tr>
          </w:tbl>
          <w:p w:rsidR="006B4471" w:rsidRPr="00967E53" w:rsidRDefault="006B4471" w:rsidP="006B4471">
            <w:pPr>
              <w:pStyle w:val="Textoindependiente"/>
              <w:spacing w:after="0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967E53" w:rsidTr="006B447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967E53" w:rsidTr="006B447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4471" w:rsidRPr="00967E53" w:rsidRDefault="006B4471" w:rsidP="006B44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6B4471" w:rsidRPr="00967E53" w:rsidRDefault="006B4471" w:rsidP="006B447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B4471" w:rsidRPr="00967E53" w:rsidTr="006B4471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967E53" w:rsidTr="006B447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 partir de la fecha establecida en la orden de proceder,</w:t>
            </w:r>
            <w:r w:rsidRPr="00967E53">
              <w:rPr>
                <w:rFonts w:ascii="Arial" w:hAnsi="Arial" w:cs="Arial"/>
                <w:lang w:val="es-BO"/>
              </w:rPr>
              <w:t xml:space="preserve"> hasta el 31 de diciembre 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967E53">
              <w:rPr>
                <w:rFonts w:ascii="Arial" w:hAnsi="Arial" w:cs="Arial"/>
                <w:lang w:val="es-BO"/>
              </w:rPr>
              <w:t xml:space="preserve"> (Fecha estimada de inicio del servicio 0</w:t>
            </w:r>
            <w:r>
              <w:rPr>
                <w:rFonts w:ascii="Arial" w:hAnsi="Arial" w:cs="Arial"/>
                <w:lang w:val="es-BO"/>
              </w:rPr>
              <w:t>2</w:t>
            </w:r>
            <w:r w:rsidRPr="00967E53">
              <w:rPr>
                <w:rFonts w:ascii="Arial" w:hAnsi="Arial" w:cs="Arial"/>
                <w:lang w:val="es-BO"/>
              </w:rPr>
              <w:t>/0</w:t>
            </w:r>
            <w:r>
              <w:rPr>
                <w:rFonts w:ascii="Arial" w:hAnsi="Arial" w:cs="Arial"/>
                <w:lang w:val="es-BO"/>
              </w:rPr>
              <w:t>1</w:t>
            </w:r>
            <w:r w:rsidRPr="00967E53">
              <w:rPr>
                <w:rFonts w:ascii="Arial" w:hAnsi="Arial" w:cs="Arial"/>
                <w:lang w:val="es-BO"/>
              </w:rPr>
              <w:t>/2022).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967E53" w:rsidTr="006B4471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967E53" w:rsidTr="006B4471">
        <w:trPr>
          <w:trHeight w:val="137"/>
        </w:trPr>
        <w:tc>
          <w:tcPr>
            <w:tcW w:w="9743" w:type="dxa"/>
            <w:gridSpan w:val="8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967E53" w:rsidTr="006B447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 el Centro de Fotocopiado ubicado en el 5to piso y en el resto de los pisos del Edificio principal, y en otros inmuebles del BCB – La Paz</w:t>
            </w:r>
            <w:r w:rsidRPr="00967E53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967E53" w:rsidTr="006B4471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967E53" w:rsidTr="006B4471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967E53" w:rsidTr="006B4471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B4471" w:rsidRPr="00967E53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1212D9" w:rsidRDefault="006B4471" w:rsidP="006B4471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1212D9">
              <w:rPr>
                <w:rFonts w:ascii="Arial" w:hAnsi="Arial" w:cs="Arial"/>
                <w:i/>
                <w:lang w:val="es-BO"/>
              </w:rPr>
              <w:t xml:space="preserve">Al tratarse de un servicio discontinuo, se </w:t>
            </w:r>
            <w:r>
              <w:rPr>
                <w:rFonts w:ascii="Arial" w:hAnsi="Arial" w:cs="Arial"/>
                <w:i/>
                <w:lang w:val="es-BO"/>
              </w:rPr>
              <w:t>efectuara la retención de</w:t>
            </w:r>
            <w:r w:rsidRPr="001212D9">
              <w:rPr>
                <w:rFonts w:ascii="Arial" w:hAnsi="Arial" w:cs="Arial"/>
                <w:i/>
                <w:lang w:val="es-BO"/>
              </w:rPr>
              <w:t>l siete por ciento (7%) de cada pago mensual, de acuerdo con el Artículo 21, Inciso b) del D.S. 0181.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F75995" w:rsidTr="006B4471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F75995" w:rsidRDefault="006B4471" w:rsidP="006B44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4471" w:rsidRPr="00F75995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F75995" w:rsidRDefault="006B4471" w:rsidP="006B4471">
            <w:pPr>
              <w:rPr>
                <w:rFonts w:ascii="Arial" w:hAnsi="Arial" w:cs="Arial"/>
                <w:lang w:val="es-BO"/>
              </w:rPr>
            </w:pPr>
          </w:p>
        </w:tc>
      </w:tr>
      <w:tr w:rsidR="006B4471" w:rsidRPr="00F75995" w:rsidTr="006B4471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471" w:rsidRPr="00F75995" w:rsidTr="006B447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F75995" w:rsidRDefault="006B4471" w:rsidP="006B447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B4471" w:rsidRPr="000E268F" w:rsidRDefault="006B4471" w:rsidP="006B4471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6B4471" w:rsidRPr="00A40276" w:rsidTr="006B4471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B4471" w:rsidRPr="00A40276" w:rsidRDefault="006B4471" w:rsidP="006B447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D3A48" w:rsidRDefault="006B4471" w:rsidP="006B44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</w:p>
        </w:tc>
      </w:tr>
      <w:tr w:rsidR="006B4471" w:rsidRPr="00A40276" w:rsidTr="006B4471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A40276" w:rsidRDefault="006B4471" w:rsidP="006B447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B4471" w:rsidRPr="00A40276" w:rsidRDefault="006B4471" w:rsidP="006B447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4471" w:rsidRPr="00A40276" w:rsidTr="006B4471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B4471" w:rsidRPr="00A40276" w:rsidRDefault="006B4471" w:rsidP="006B447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4471" w:rsidRPr="000D0D93" w:rsidRDefault="006B4471" w:rsidP="006B4471">
            <w:pPr>
              <w:rPr>
                <w:rFonts w:ascii="Arial" w:hAnsi="Arial" w:cs="Arial"/>
                <w:b/>
              </w:rPr>
            </w:pPr>
            <w:r w:rsidRPr="000D0D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B4471" w:rsidRPr="00A40276" w:rsidRDefault="006B4471" w:rsidP="006B4471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</w:p>
        </w:tc>
      </w:tr>
      <w:tr w:rsidR="006B4471" w:rsidRPr="00A40276" w:rsidTr="006B4471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103827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6B4471" w:rsidRPr="00967E53" w:rsidTr="006B4471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6B4471" w:rsidRPr="00967E53" w:rsidRDefault="006B4471" w:rsidP="006B4471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</w:rPr>
            </w:pPr>
          </w:p>
        </w:tc>
      </w:tr>
      <w:tr w:rsidR="006B4471" w:rsidRPr="00967E53" w:rsidTr="006B4471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</w:rPr>
            </w:pPr>
          </w:p>
        </w:tc>
      </w:tr>
      <w:tr w:rsidR="006B4471" w:rsidRPr="00A40276" w:rsidTr="006B4471">
        <w:tc>
          <w:tcPr>
            <w:tcW w:w="1558" w:type="dxa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6B4471" w:rsidRPr="00A40276" w:rsidRDefault="006B4471" w:rsidP="006B447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6B4471" w:rsidRPr="00A40276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471" w:rsidRPr="00A40276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6B4471" w:rsidRPr="00A40276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B4471" w:rsidRPr="00A40276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6B4471" w:rsidRPr="00A40276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4471" w:rsidRPr="00545778" w:rsidTr="006B4471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6B4471" w:rsidRPr="00545778" w:rsidRDefault="006B4471" w:rsidP="006B4471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6B4471" w:rsidRPr="00A40276" w:rsidTr="006B4471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6B4471" w:rsidRPr="00765F1B" w:rsidRDefault="006B4471" w:rsidP="006B4471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B4471" w:rsidRPr="00765F1B" w:rsidRDefault="006B4471" w:rsidP="006B4471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6B4471" w:rsidRPr="00A40276" w:rsidRDefault="006B4471" w:rsidP="006B447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B4471" w:rsidRPr="00545778" w:rsidTr="006B4471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545778" w:rsidRDefault="006B4471" w:rsidP="006B447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4471" w:rsidRPr="00967E53" w:rsidTr="006B4471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471" w:rsidRPr="00967E53" w:rsidRDefault="006B4471" w:rsidP="006B4471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967E53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967E53" w:rsidRDefault="006B4471" w:rsidP="006B4471">
            <w:pPr>
              <w:rPr>
                <w:rFonts w:ascii="Arial" w:hAnsi="Arial" w:cs="Arial"/>
              </w:rPr>
            </w:pPr>
          </w:p>
        </w:tc>
      </w:tr>
      <w:tr w:rsidR="006B4471" w:rsidRPr="00545778" w:rsidTr="006B4471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545778" w:rsidRDefault="006B4471" w:rsidP="006B447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4471" w:rsidRPr="00A40276" w:rsidTr="006B4471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6B4471" w:rsidRDefault="006B4471" w:rsidP="006B447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6B4471" w:rsidRDefault="006B4471" w:rsidP="006B4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6B4471" w:rsidRPr="00545778" w:rsidRDefault="006B4471" w:rsidP="006B447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6B4471" w:rsidRPr="00A40276" w:rsidRDefault="006B4471" w:rsidP="006B4471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6B4471" w:rsidRPr="00A40276" w:rsidRDefault="006B4471" w:rsidP="006B447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6B4471" w:rsidRPr="00A40276" w:rsidRDefault="006B4471" w:rsidP="006B447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6B4471" w:rsidRPr="00A40276" w:rsidRDefault="006B4471" w:rsidP="006B447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6B4471" w:rsidRPr="00A40276" w:rsidRDefault="006B4471" w:rsidP="006B447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6B4471" w:rsidRPr="00A40276" w:rsidRDefault="006B4471" w:rsidP="006B447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6B4471" w:rsidRPr="00A40276" w:rsidRDefault="006B4471" w:rsidP="006B447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B4471" w:rsidRPr="00A40276" w:rsidTr="006B4471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A50260" w:rsidRDefault="006B4471" w:rsidP="006B4471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71" w:rsidRPr="00A40276" w:rsidRDefault="006B4471" w:rsidP="006B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A40276" w:rsidRDefault="006B4471" w:rsidP="006B4471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 w:val="14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71" w:rsidRPr="00A40276" w:rsidRDefault="006B4471" w:rsidP="006B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A40276" w:rsidRDefault="006B4471" w:rsidP="006B4471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</w:p>
        </w:tc>
      </w:tr>
      <w:tr w:rsidR="006B4471" w:rsidRPr="00A40276" w:rsidTr="006B4471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A50260" w:rsidRDefault="006B4471" w:rsidP="00B54A86">
            <w:pPr>
              <w:jc w:val="center"/>
              <w:rPr>
                <w:rFonts w:ascii="Arial" w:hAnsi="Arial" w:cs="Arial"/>
                <w:szCs w:val="13"/>
              </w:rPr>
            </w:pPr>
            <w:r w:rsidRPr="00A50260">
              <w:rPr>
                <w:rFonts w:ascii="Arial" w:hAnsi="Arial" w:cs="Arial"/>
                <w:szCs w:val="13"/>
              </w:rPr>
              <w:t>Ch</w:t>
            </w:r>
            <w:r w:rsidR="00B54A86">
              <w:rPr>
                <w:rFonts w:ascii="Arial" w:hAnsi="Arial" w:cs="Arial"/>
                <w:szCs w:val="13"/>
              </w:rPr>
              <w:t>r</w:t>
            </w:r>
            <w:r w:rsidRPr="00A50260">
              <w:rPr>
                <w:rFonts w:ascii="Arial" w:hAnsi="Arial" w:cs="Arial"/>
                <w:szCs w:val="13"/>
              </w:rPr>
              <w:t>istian Yujra Rojas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71" w:rsidRPr="00545778" w:rsidRDefault="006B4471" w:rsidP="006B447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545778" w:rsidRDefault="006B4471" w:rsidP="006B447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50260">
              <w:rPr>
                <w:rFonts w:ascii="Arial" w:hAnsi="Arial" w:cs="Arial"/>
                <w:szCs w:val="13"/>
              </w:rPr>
              <w:t>Técnico de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71" w:rsidRPr="00545778" w:rsidRDefault="006B4471" w:rsidP="006B447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545778" w:rsidRDefault="006B4471" w:rsidP="006B447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56570">
              <w:rPr>
                <w:rFonts w:ascii="Arial" w:hAnsi="Arial" w:cs="Arial"/>
                <w:sz w:val="15"/>
                <w:szCs w:val="15"/>
              </w:rPr>
              <w:t>Departamento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</w:p>
        </w:tc>
      </w:tr>
      <w:tr w:rsidR="006B4471" w:rsidRPr="00545778" w:rsidTr="006B4471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545778" w:rsidRDefault="006B4471" w:rsidP="006B4471">
            <w:pPr>
              <w:rPr>
                <w:rFonts w:ascii="Arial" w:hAnsi="Arial" w:cs="Arial"/>
                <w:sz w:val="6"/>
              </w:rPr>
            </w:pPr>
          </w:p>
        </w:tc>
      </w:tr>
      <w:tr w:rsidR="006B4471" w:rsidRPr="00A40276" w:rsidTr="006B4471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B4471" w:rsidRPr="00A40276" w:rsidRDefault="006B4471" w:rsidP="006B447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FC2F68" w:rsidRDefault="006B4471" w:rsidP="006B4471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6B4471" w:rsidRPr="0006032F" w:rsidRDefault="006B4471" w:rsidP="006B4471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6B4471" w:rsidRPr="00A40276" w:rsidRDefault="006B4471" w:rsidP="006B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4509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A40276" w:rsidRDefault="006B4471" w:rsidP="006B4471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4471" w:rsidRPr="0006032F" w:rsidRDefault="00B54A86" w:rsidP="006B447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6B4471" w:rsidRPr="00516AF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6B4471" w:rsidRPr="0006032F" w:rsidRDefault="006B4471" w:rsidP="006B447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6B4471" w:rsidRPr="0006032F" w:rsidRDefault="006B4471" w:rsidP="006B4471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cyujra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6B4471" w:rsidRPr="00A40276" w:rsidRDefault="006B4471" w:rsidP="006B4471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B4471" w:rsidRPr="00A40276" w:rsidRDefault="006B4471" w:rsidP="006B4471">
            <w:pPr>
              <w:rPr>
                <w:rFonts w:ascii="Arial" w:hAnsi="Arial" w:cs="Arial"/>
              </w:rPr>
            </w:pPr>
          </w:p>
        </w:tc>
      </w:tr>
      <w:tr w:rsidR="006B4471" w:rsidRPr="00545778" w:rsidTr="006B4471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4471" w:rsidRPr="00A40276" w:rsidTr="006B4471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B4471" w:rsidRPr="00CB5BDF" w:rsidRDefault="006B4471" w:rsidP="006B4471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6B4471" w:rsidRPr="00CB5BDF" w:rsidRDefault="006B4471" w:rsidP="006B447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B4471" w:rsidRPr="00A40276" w:rsidRDefault="006B4471" w:rsidP="006B447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B4471" w:rsidRPr="00545778" w:rsidTr="006B4471">
        <w:trPr>
          <w:trHeight w:val="349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B4471" w:rsidRPr="00545778" w:rsidRDefault="006B4471" w:rsidP="006B447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B4471" w:rsidRDefault="006B4471" w:rsidP="006B4471">
      <w:pPr>
        <w:rPr>
          <w:lang w:val="es-BO"/>
        </w:rPr>
      </w:pPr>
    </w:p>
    <w:p w:rsidR="006B4471" w:rsidRDefault="006B4471" w:rsidP="006B4471">
      <w:pPr>
        <w:pStyle w:val="Puesto"/>
        <w:numPr>
          <w:ilvl w:val="0"/>
          <w:numId w:val="12"/>
        </w:numPr>
        <w:spacing w:before="0" w:after="0"/>
        <w:jc w:val="both"/>
      </w:pPr>
      <w:bookmarkStart w:id="0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6B4471" w:rsidRDefault="006B4471" w:rsidP="006B4471">
      <w:pPr>
        <w:rPr>
          <w:lang w:val="es-BO"/>
        </w:rPr>
      </w:pPr>
    </w:p>
    <w:tbl>
      <w:tblPr>
        <w:tblW w:w="9498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6B4471" w:rsidRPr="00A40276" w:rsidTr="006B4471">
        <w:trPr>
          <w:trHeight w:val="2849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B4471" w:rsidRPr="00492D3E" w:rsidRDefault="006B4471" w:rsidP="006B4471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B4471" w:rsidRPr="00492D3E" w:rsidRDefault="006B4471" w:rsidP="006B447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6B4471" w:rsidRPr="00492D3E" w:rsidRDefault="006B4471" w:rsidP="006B4471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6B4471" w:rsidRPr="00492D3E" w:rsidRDefault="006B4471" w:rsidP="006B4471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B4471" w:rsidRPr="00492D3E" w:rsidRDefault="006B4471" w:rsidP="006B4471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B4471" w:rsidRPr="00492D3E" w:rsidRDefault="006B4471" w:rsidP="006B447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6B4471" w:rsidRPr="00492D3E" w:rsidRDefault="006B4471" w:rsidP="006B447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6B4471" w:rsidRPr="00492D3E" w:rsidRDefault="006B4471" w:rsidP="006B4471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6B4471" w:rsidRDefault="006B4471" w:rsidP="006B4471">
      <w:pPr>
        <w:rPr>
          <w:lang w:val="es-BO"/>
        </w:rPr>
      </w:pPr>
    </w:p>
    <w:p w:rsidR="006B4471" w:rsidRPr="004B26AD" w:rsidRDefault="006B4471" w:rsidP="006B4471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B4471" w:rsidRPr="000C6821" w:rsidRDefault="006B4471" w:rsidP="006B4471">
      <w:pPr>
        <w:rPr>
          <w:rFonts w:cs="Arial"/>
          <w:sz w:val="18"/>
          <w:szCs w:val="18"/>
        </w:rPr>
      </w:pPr>
    </w:p>
    <w:tbl>
      <w:tblPr>
        <w:tblW w:w="538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"/>
        <w:gridCol w:w="2457"/>
        <w:gridCol w:w="13"/>
        <w:gridCol w:w="8"/>
        <w:gridCol w:w="264"/>
        <w:gridCol w:w="74"/>
        <w:gridCol w:w="125"/>
        <w:gridCol w:w="135"/>
        <w:gridCol w:w="114"/>
        <w:gridCol w:w="135"/>
        <w:gridCol w:w="360"/>
        <w:gridCol w:w="135"/>
        <w:gridCol w:w="529"/>
        <w:gridCol w:w="121"/>
        <w:gridCol w:w="21"/>
        <w:gridCol w:w="135"/>
        <w:gridCol w:w="313"/>
        <w:gridCol w:w="135"/>
        <w:gridCol w:w="307"/>
        <w:gridCol w:w="127"/>
        <w:gridCol w:w="8"/>
        <w:gridCol w:w="138"/>
        <w:gridCol w:w="3014"/>
        <w:gridCol w:w="527"/>
      </w:tblGrid>
      <w:tr w:rsidR="006B4471" w:rsidRPr="000C6821" w:rsidTr="006B4471">
        <w:trPr>
          <w:trHeight w:val="284"/>
          <w:tblHeader/>
        </w:trPr>
        <w:tc>
          <w:tcPr>
            <w:tcW w:w="5000" w:type="pct"/>
            <w:gridSpan w:val="2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B4471" w:rsidRPr="000C6821" w:rsidTr="006B4471">
        <w:trPr>
          <w:trHeight w:val="284"/>
          <w:tblHeader/>
        </w:trPr>
        <w:tc>
          <w:tcPr>
            <w:tcW w:w="144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1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47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94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B4471" w:rsidRPr="000C6821" w:rsidTr="006B4471">
        <w:trPr>
          <w:trHeight w:val="130"/>
        </w:trPr>
        <w:tc>
          <w:tcPr>
            <w:tcW w:w="15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0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593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2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c>
          <w:tcPr>
            <w:tcW w:w="1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350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B54A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0600BD">
              <w:rPr>
                <w:rFonts w:ascii="Arial" w:hAnsi="Arial" w:cs="Arial"/>
                <w:sz w:val="12"/>
                <w:lang w:val="es-BO"/>
              </w:rPr>
              <w:t xml:space="preserve">Piso 5 (Dpto. de Bienes y Servicios), edificio principal del BCB – Calle Ayacucho esq. Mercado, La Paz – Bolivia, coordinar el ingreso con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="00B54A86">
              <w:rPr>
                <w:rFonts w:ascii="Arial" w:hAnsi="Arial" w:cs="Arial"/>
                <w:sz w:val="12"/>
                <w:lang w:val="es-BO"/>
              </w:rPr>
              <w:t>h</w:t>
            </w:r>
            <w:r>
              <w:rPr>
                <w:rFonts w:ascii="Arial" w:hAnsi="Arial" w:cs="Arial"/>
                <w:sz w:val="12"/>
                <w:lang w:val="es-BO"/>
              </w:rPr>
              <w:t>ristian Yujra</w:t>
            </w:r>
            <w:r w:rsidRPr="000600BD">
              <w:rPr>
                <w:rFonts w:ascii="Arial" w:hAnsi="Arial" w:cs="Arial"/>
                <w:sz w:val="12"/>
                <w:lang w:val="es-BO"/>
              </w:rPr>
              <w:t xml:space="preserve"> </w:t>
            </w:r>
            <w:r>
              <w:rPr>
                <w:rFonts w:ascii="Arial" w:hAnsi="Arial" w:cs="Arial"/>
                <w:sz w:val="12"/>
                <w:lang w:val="es-BO"/>
              </w:rPr>
              <w:t>Rojas</w:t>
            </w:r>
            <w:r w:rsidRPr="000600BD">
              <w:rPr>
                <w:rFonts w:ascii="Arial" w:hAnsi="Arial" w:cs="Arial"/>
                <w:sz w:val="12"/>
                <w:lang w:val="es-BO"/>
              </w:rPr>
              <w:t xml:space="preserve"> </w:t>
            </w:r>
            <w:proofErr w:type="spellStart"/>
            <w:r w:rsidRPr="000600BD">
              <w:rPr>
                <w:rFonts w:ascii="Arial" w:hAnsi="Arial" w:cs="Arial"/>
                <w:sz w:val="12"/>
                <w:lang w:val="es-BO"/>
              </w:rPr>
              <w:t>Int</w:t>
            </w:r>
            <w:proofErr w:type="spellEnd"/>
            <w:r w:rsidRPr="000600BD">
              <w:rPr>
                <w:rFonts w:ascii="Arial" w:hAnsi="Arial" w:cs="Arial"/>
                <w:sz w:val="12"/>
                <w:lang w:val="es-BO"/>
              </w:rPr>
              <w:t>. 450</w:t>
            </w:r>
            <w:r>
              <w:rPr>
                <w:rFonts w:ascii="Arial" w:hAnsi="Arial" w:cs="Arial"/>
                <w:sz w:val="12"/>
                <w:lang w:val="es-BO"/>
              </w:rPr>
              <w:t>9</w:t>
            </w:r>
            <w:r w:rsidRPr="000600BD">
              <w:rPr>
                <w:rFonts w:ascii="Arial" w:hAnsi="Arial" w:cs="Arial"/>
                <w:sz w:val="12"/>
                <w:lang w:val="es-BO"/>
              </w:rPr>
              <w:t>.</w:t>
            </w:r>
          </w:p>
        </w:tc>
        <w:tc>
          <w:tcPr>
            <w:tcW w:w="2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53"/>
        </w:trPr>
        <w:tc>
          <w:tcPr>
            <w:tcW w:w="1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430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0600BD">
              <w:rPr>
                <w:rFonts w:ascii="Arial" w:hAnsi="Arial" w:cs="Arial"/>
                <w:sz w:val="12"/>
                <w:lang w:val="es-BO"/>
              </w:rPr>
              <w:t xml:space="preserve">Nota dirigida al Gerente de Administración del BCB –RPA: En  forma  física: Planta  Baja,  Ventanilla  Única  de Correspondencia del Edif. Principal del BCB. O En forma electrónica: Al correo </w:t>
            </w:r>
            <w:r>
              <w:rPr>
                <w:rFonts w:ascii="Arial" w:hAnsi="Arial" w:cs="Arial"/>
                <w:sz w:val="12"/>
                <w:lang w:val="es-BO"/>
              </w:rPr>
              <w:t>electrónico gmantilla</w:t>
            </w:r>
            <w:r w:rsidRPr="000600BD">
              <w:rPr>
                <w:rFonts w:ascii="Arial" w:hAnsi="Arial" w:cs="Arial"/>
                <w:sz w:val="12"/>
                <w:lang w:val="es-BO"/>
              </w:rPr>
              <w:t>@bcb.gob.bo</w:t>
            </w:r>
          </w:p>
        </w:tc>
        <w:tc>
          <w:tcPr>
            <w:tcW w:w="2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53"/>
        </w:trPr>
        <w:tc>
          <w:tcPr>
            <w:tcW w:w="1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1146"/>
        </w:trPr>
        <w:tc>
          <w:tcPr>
            <w:tcW w:w="15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 w:rsidRPr="000600BD">
              <w:rPr>
                <w:rFonts w:ascii="Arial" w:hAnsi="Arial" w:cs="Arial"/>
                <w:sz w:val="12"/>
                <w:lang w:val="es-BO"/>
              </w:rPr>
              <w:t xml:space="preserve">Piso  7  (Dpto.  de  Compras  y  Contrataciones),  edificio principal del BCB –Calle Ayacucho esq. Mercado, La Paz –Bolivia o conectarse al siguiente enlace a través de </w:t>
            </w:r>
            <w:r w:rsidRPr="006660CF">
              <w:rPr>
                <w:rStyle w:val="Hipervnculo"/>
                <w:sz w:val="12"/>
              </w:rPr>
              <w:t xml:space="preserve"> </w:t>
            </w:r>
            <w:hyperlink r:id="rId9" w:history="1">
              <w:r w:rsidRPr="00513654">
                <w:rPr>
                  <w:rStyle w:val="Hipervnculo"/>
                  <w:sz w:val="12"/>
                </w:rPr>
                <w:t>https://bcbbolivia.webex.com/bcbbolivia/onstage/g.php?MTID=e15e87de95f34392112a8203e089e5901</w:t>
              </w:r>
            </w:hyperlink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1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  <w:bookmarkStart w:id="1" w:name="_GoBack"/>
            <w:bookmarkEnd w:id="1"/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5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655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B54A86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B4471"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B54A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4A86"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4956B1" w:rsidRDefault="006B4471" w:rsidP="006B4471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6B4471" w:rsidRPr="004956B1" w:rsidRDefault="006B4471" w:rsidP="006B4471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(cuando corresponda)</w:t>
            </w:r>
          </w:p>
          <w:p w:rsidR="006B4471" w:rsidRPr="004956B1" w:rsidRDefault="006B4471" w:rsidP="006B4471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6B4471" w:rsidRPr="004956B1" w:rsidRDefault="006B4471" w:rsidP="006B4471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6B4471" w:rsidRPr="004956B1" w:rsidRDefault="006B4471" w:rsidP="006B4471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6B4471" w:rsidRPr="004956B1" w:rsidRDefault="006B4471" w:rsidP="006B4471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6B4471" w:rsidRPr="004956B1" w:rsidRDefault="006B4471" w:rsidP="006B4471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6B4471" w:rsidRPr="00967E53" w:rsidRDefault="006B4471" w:rsidP="006B447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</w:tc>
        <w:tc>
          <w:tcPr>
            <w:tcW w:w="2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c>
          <w:tcPr>
            <w:tcW w:w="1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B54A86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B4471"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B54A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4A86"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B54A86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B4471"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B54A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4A86"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87393" w:rsidRDefault="006B4471" w:rsidP="006B447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6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1128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B54A86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B4471"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B54A86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967E53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8A64C3" w:rsidRDefault="006B4471" w:rsidP="006B4471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10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6B4471" w:rsidRPr="000C6821" w:rsidRDefault="00B54A86" w:rsidP="006B447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hyperlink r:id="rId11" w:history="1">
              <w:r w:rsidR="006B4471" w:rsidRPr="0024368D">
                <w:rPr>
                  <w:rStyle w:val="Hipervnculo"/>
                  <w:sz w:val="14"/>
                </w:rPr>
                <w:t>https://bcb-gob-bo.zoom.us/j/84733078252?pwd=Rm5RTGdSdDdVM0FabjNaS05uKzV2UT09</w:t>
              </w:r>
            </w:hyperlink>
          </w:p>
        </w:tc>
        <w:tc>
          <w:tcPr>
            <w:tcW w:w="2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c>
          <w:tcPr>
            <w:tcW w:w="1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B54A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4A86"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53"/>
        </w:trPr>
        <w:tc>
          <w:tcPr>
            <w:tcW w:w="1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471" w:rsidRPr="000C6821" w:rsidTr="006B4471">
        <w:trPr>
          <w:trHeight w:val="74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4471" w:rsidRPr="000C6821" w:rsidTr="006B4471">
        <w:trPr>
          <w:trHeight w:val="319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B54A86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c>
          <w:tcPr>
            <w:tcW w:w="1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291"/>
        </w:trPr>
        <w:tc>
          <w:tcPr>
            <w:tcW w:w="1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B54A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4A86">
              <w:rPr>
                <w:rFonts w:ascii="Arial" w:hAnsi="Arial" w:cs="Arial"/>
              </w:rPr>
              <w:t>7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53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c>
          <w:tcPr>
            <w:tcW w:w="1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3606A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54A86">
              <w:rPr>
                <w:rFonts w:ascii="Arial" w:hAnsi="Arial" w:cs="Arial"/>
              </w:rPr>
              <w:t>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c>
          <w:tcPr>
            <w:tcW w:w="1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1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471" w:rsidRPr="000C6821" w:rsidTr="006B4471">
        <w:trPr>
          <w:trHeight w:val="190"/>
        </w:trPr>
        <w:tc>
          <w:tcPr>
            <w:tcW w:w="15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0C6821" w:rsidTr="006B4471">
        <w:trPr>
          <w:trHeight w:val="304"/>
        </w:trPr>
        <w:tc>
          <w:tcPr>
            <w:tcW w:w="1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4471" w:rsidRPr="000C6821" w:rsidRDefault="006B4471" w:rsidP="006B447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B54A86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4471" w:rsidRPr="000C6821" w:rsidRDefault="006B4471" w:rsidP="006B447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B4471" w:rsidRPr="00492D3E" w:rsidTr="006B4471">
        <w:tc>
          <w:tcPr>
            <w:tcW w:w="1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B4471" w:rsidRPr="00492D3E" w:rsidRDefault="006B4471" w:rsidP="006B4471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551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B4471" w:rsidRPr="00492D3E" w:rsidRDefault="006B4471" w:rsidP="006B4471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4471" w:rsidRPr="00492D3E" w:rsidRDefault="006B4471" w:rsidP="006B447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46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471" w:rsidRPr="00492D3E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471" w:rsidRPr="00492D3E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66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4471" w:rsidRPr="00492D3E" w:rsidRDefault="006B4471" w:rsidP="006B447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278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B4471" w:rsidRPr="00492D3E" w:rsidRDefault="006B4471" w:rsidP="006B4471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6B4471" w:rsidRDefault="006B4471" w:rsidP="006B4471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B4471" w:rsidRPr="0060646D" w:rsidRDefault="006B4471" w:rsidP="006B4471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6B4471" w:rsidRDefault="006B4471" w:rsidP="006B4471">
      <w:pPr>
        <w:rPr>
          <w:lang w:val="es-BO"/>
        </w:rPr>
      </w:pPr>
    </w:p>
    <w:p w:rsidR="005B5F41" w:rsidRDefault="005B5F41" w:rsidP="005B5F41">
      <w:pPr>
        <w:rPr>
          <w:lang w:val="es-BO"/>
        </w:rPr>
      </w:pPr>
    </w:p>
    <w:p w:rsidR="006B4471" w:rsidRPr="005B660C" w:rsidRDefault="006B4471" w:rsidP="005B5F41">
      <w:pPr>
        <w:rPr>
          <w:lang w:val="es-BO"/>
        </w:rPr>
      </w:pPr>
    </w:p>
    <w:sectPr w:rsidR="006B4471" w:rsidRPr="005B660C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51A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606A7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B4471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4A86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uiPriority w:val="99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-gob-bo.zoom.us/j/84733078252?pwd=Rm5RTGdSdDdVM0FabjNaS05uKzV2UT0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5e87de95f34392112a8203e089e59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1502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9746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6</cp:revision>
  <cp:lastPrinted>2016-11-23T23:13:00Z</cp:lastPrinted>
  <dcterms:created xsi:type="dcterms:W3CDTF">2022-10-18T22:32:00Z</dcterms:created>
  <dcterms:modified xsi:type="dcterms:W3CDTF">2022-10-19T15:59:00Z</dcterms:modified>
</cp:coreProperties>
</file>