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55444234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1E7072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1E7072">
              <w:rPr>
                <w:rFonts w:ascii="Arial" w:hAnsi="Arial" w:cs="Arial"/>
                <w:color w:val="FFFFFF"/>
                <w:sz w:val="18"/>
                <w:lang w:val="pt-BR"/>
              </w:rPr>
              <w:t>87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3753A3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3753A3" w:rsidRDefault="001E7072" w:rsidP="003753A3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BB19A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 xml:space="preserve"> CONTRATACIÓN</w:t>
      </w:r>
      <w:bookmarkEnd w:id="0"/>
    </w:p>
    <w:p w:rsidR="003753A3" w:rsidRPr="006876A4" w:rsidRDefault="003753A3" w:rsidP="003753A3">
      <w:pPr>
        <w:rPr>
          <w:sz w:val="10"/>
          <w:szCs w:val="10"/>
          <w:lang w:val="es-BO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3753A3" w:rsidRPr="009956C4" w:rsidTr="00C82977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753A3" w:rsidRPr="009956C4" w:rsidRDefault="003753A3" w:rsidP="003753A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3753A3" w:rsidRPr="006876A4" w:rsidTr="00C82977"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53A3" w:rsidRPr="006876A4" w:rsidRDefault="003753A3" w:rsidP="00C8297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753A3" w:rsidRPr="00331652" w:rsidTr="00C82977">
        <w:trPr>
          <w:trHeight w:val="279"/>
        </w:trPr>
        <w:tc>
          <w:tcPr>
            <w:tcW w:w="181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12"/>
              </w:rPr>
            </w:pPr>
          </w:p>
        </w:tc>
      </w:tr>
      <w:tr w:rsidR="003753A3" w:rsidRPr="00331652" w:rsidTr="00C82977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53A3" w:rsidRPr="00331652" w:rsidTr="00C82977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</w:rPr>
              <w:t>ANPE – P Nº 0</w:t>
            </w:r>
            <w:r>
              <w:rPr>
                <w:rFonts w:ascii="Arial" w:hAnsi="Arial" w:cs="Arial"/>
              </w:rPr>
              <w:t>87</w:t>
            </w:r>
            <w:r w:rsidRPr="0033165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 – 2</w:t>
            </w:r>
            <w:r w:rsidRPr="00331652">
              <w:rPr>
                <w:rFonts w:ascii="Arial" w:hAnsi="Arial" w:cs="Arial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12"/>
              </w:rPr>
            </w:pPr>
          </w:p>
        </w:tc>
      </w:tr>
      <w:tr w:rsidR="003753A3" w:rsidRPr="00331652" w:rsidTr="00C82977">
        <w:trPr>
          <w:trHeight w:val="223"/>
        </w:trPr>
        <w:tc>
          <w:tcPr>
            <w:tcW w:w="181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53A3" w:rsidRPr="00331652" w:rsidRDefault="003753A3" w:rsidP="00C8297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12"/>
              </w:rPr>
            </w:pPr>
          </w:p>
        </w:tc>
      </w:tr>
      <w:tr w:rsidR="003753A3" w:rsidRPr="00331652" w:rsidTr="00C82977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3753A3" w:rsidRPr="00331652" w:rsidTr="00C82977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3A3" w:rsidRPr="00331652" w:rsidRDefault="003753A3" w:rsidP="00C82977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3A3" w:rsidRPr="00331652" w:rsidRDefault="003753A3" w:rsidP="00C8297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3A3" w:rsidRPr="00331652" w:rsidRDefault="003753A3" w:rsidP="00C8297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3A3" w:rsidRPr="00331652" w:rsidRDefault="003753A3" w:rsidP="00C8297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53A3" w:rsidRPr="00331652" w:rsidTr="00C82977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753A3" w:rsidRPr="00331652" w:rsidRDefault="003753A3" w:rsidP="003753A3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3753A3" w:rsidRPr="00331652" w:rsidTr="00C82977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53A3" w:rsidRPr="00331652" w:rsidTr="00C82977">
        <w:trPr>
          <w:trHeight w:val="433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COMPRA DE TONNERS HP CF287X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</w:tr>
      <w:tr w:rsidR="003753A3" w:rsidRPr="00331652" w:rsidTr="00C82977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753A3" w:rsidRPr="00331652" w:rsidTr="00C82977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3753A3" w:rsidRPr="00331652" w:rsidTr="00C82977">
        <w:trPr>
          <w:trHeight w:val="2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3753A3" w:rsidRPr="00331652" w:rsidTr="00C82977">
        <w:trPr>
          <w:trHeight w:val="21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3753A3" w:rsidRPr="00331652" w:rsidTr="00C82977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753A3" w:rsidRPr="00331652" w:rsidTr="00C82977">
        <w:trPr>
          <w:trHeight w:val="209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</w:tr>
      <w:tr w:rsidR="003753A3" w:rsidRPr="00331652" w:rsidTr="00C82977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753A3" w:rsidRPr="00331652" w:rsidTr="00C82977">
        <w:trPr>
          <w:trHeight w:val="322"/>
        </w:trPr>
        <w:tc>
          <w:tcPr>
            <w:tcW w:w="1872" w:type="dxa"/>
            <w:tcBorders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Bs</w:t>
            </w:r>
            <w:r>
              <w:rPr>
                <w:rFonts w:ascii="Arial" w:hAnsi="Arial" w:cs="Arial"/>
                <w:b/>
                <w:sz w:val="14"/>
              </w:rPr>
              <w:t>409.500</w:t>
            </w:r>
            <w:r w:rsidRPr="00331652">
              <w:rPr>
                <w:rFonts w:ascii="Arial" w:hAnsi="Arial" w:cs="Arial"/>
                <w:b/>
                <w:sz w:val="14"/>
              </w:rPr>
              <w:t>,00 (</w:t>
            </w:r>
            <w:r>
              <w:rPr>
                <w:rFonts w:ascii="Arial" w:hAnsi="Arial" w:cs="Arial"/>
                <w:b/>
                <w:sz w:val="14"/>
              </w:rPr>
              <w:t>Cuatrocientos Nueve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 Mil </w:t>
            </w:r>
            <w:r>
              <w:rPr>
                <w:rFonts w:ascii="Arial" w:hAnsi="Arial" w:cs="Arial"/>
                <w:b/>
                <w:sz w:val="14"/>
              </w:rPr>
              <w:t xml:space="preserve">Quinientos </w:t>
            </w:r>
            <w:r w:rsidRPr="00331652">
              <w:rPr>
                <w:rFonts w:ascii="Arial" w:hAnsi="Arial" w:cs="Arial"/>
                <w:b/>
                <w:sz w:val="14"/>
              </w:rPr>
              <w:t>00/100 Bolivianos)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3753A3" w:rsidRPr="00331652" w:rsidTr="00C82977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3753A3" w:rsidRPr="00331652" w:rsidTr="00C82977">
        <w:trPr>
          <w:trHeight w:val="2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33165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3753A3" w:rsidRPr="00331652" w:rsidTr="00C82977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53A3" w:rsidRPr="00331652" w:rsidTr="00C82977">
        <w:trPr>
          <w:trHeight w:val="4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3753A3" w:rsidRPr="00D75443" w:rsidRDefault="003753A3" w:rsidP="00C82977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>
              <w:rPr>
                <w:rFonts w:ascii="Arial" w:hAnsi="Arial" w:cs="Arial"/>
                <w:szCs w:val="18"/>
              </w:rPr>
              <w:t>N</w:t>
            </w:r>
            <w:r w:rsidRPr="00D75443">
              <w:rPr>
                <w:rFonts w:ascii="Arial" w:hAnsi="Arial" w:cs="Arial"/>
                <w:szCs w:val="18"/>
              </w:rPr>
              <w:t>o debe exceder los veinte (20) días calendario a partir del día hábil siguiente a la fecha de suscripción del Contrato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</w:tr>
      <w:tr w:rsidR="003753A3" w:rsidRPr="00331652" w:rsidTr="00C82977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331652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753A3" w:rsidRPr="00331652" w:rsidTr="00C82977">
        <w:trPr>
          <w:trHeight w:val="4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</w:tr>
      <w:tr w:rsidR="003753A3" w:rsidRPr="006876A4" w:rsidTr="00C82977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3753A3" w:rsidRPr="006876A4" w:rsidRDefault="003753A3" w:rsidP="00C82977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753A3" w:rsidRPr="009956C4" w:rsidTr="00C82977">
        <w:trPr>
          <w:trHeight w:val="578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3753A3" w:rsidRPr="006876A4" w:rsidRDefault="003753A3" w:rsidP="00C8297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3753A3" w:rsidRPr="002F17D3" w:rsidRDefault="003753A3" w:rsidP="00C82977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>. En caso de pagos parciales, el proponente podrá solicitar la retención en sustitución de la garantía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</w:tr>
      <w:tr w:rsidR="003753A3" w:rsidRPr="006876A4" w:rsidTr="00C82977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3753A3" w:rsidRPr="006876A4" w:rsidRDefault="003753A3" w:rsidP="00C82977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tcBorders>
              <w:left w:val="nil"/>
              <w:right w:val="single" w:sz="12" w:space="0" w:color="244061" w:themeColor="accent1" w:themeShade="80"/>
            </w:tcBorders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753A3" w:rsidRPr="006876A4" w:rsidTr="00C82977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3753A3" w:rsidRPr="009956C4" w:rsidTr="00C82977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784A03" w:rsidRDefault="003753A3" w:rsidP="00C8297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84A0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3753A3" w:rsidRPr="009956C4" w:rsidTr="00C82977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753A3" w:rsidRPr="009956C4" w:rsidTr="00C82977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3A3" w:rsidRPr="009956C4" w:rsidTr="00C82977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3A3" w:rsidRPr="009956C4" w:rsidTr="00C82977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53A3" w:rsidRPr="009956C4" w:rsidRDefault="003753A3" w:rsidP="00C82977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753A3" w:rsidRPr="009956C4" w:rsidTr="00C82977">
        <w:trPr>
          <w:trHeight w:val="209"/>
        </w:trPr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3753A3" w:rsidRPr="009956C4" w:rsidTr="00C82977">
        <w:tc>
          <w:tcPr>
            <w:tcW w:w="1592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Nombre del Organismo Financiador</w:t>
            </w:r>
          </w:p>
          <w:p w:rsidR="003753A3" w:rsidRPr="00331652" w:rsidRDefault="003753A3" w:rsidP="00C8297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</w:tr>
      <w:tr w:rsidR="003753A3" w:rsidRPr="009956C4" w:rsidTr="00C82977">
        <w:trPr>
          <w:trHeight w:val="20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</w:tr>
      <w:tr w:rsidR="003753A3" w:rsidRPr="009956C4" w:rsidTr="00C82977">
        <w:trPr>
          <w:trHeight w:val="26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753A3" w:rsidRPr="009956C4" w:rsidRDefault="003753A3" w:rsidP="00C82977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  <w:sz w:val="14"/>
              </w:rPr>
            </w:pPr>
          </w:p>
        </w:tc>
      </w:tr>
      <w:tr w:rsidR="003753A3" w:rsidRPr="006876A4" w:rsidTr="00C82977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3A3" w:rsidRPr="009956C4" w:rsidTr="00C82977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753A3" w:rsidRPr="009956C4" w:rsidRDefault="003753A3" w:rsidP="003753A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753A3" w:rsidRPr="009956C4" w:rsidTr="00C82977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53A3" w:rsidRPr="009956C4" w:rsidRDefault="003753A3" w:rsidP="00C8297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753A3" w:rsidRPr="009956C4" w:rsidTr="00C82977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 xml:space="preserve">08:00 a </w:t>
            </w:r>
            <w:r>
              <w:rPr>
                <w:rFonts w:ascii="Arial" w:hAnsi="Arial" w:cs="Arial"/>
              </w:rPr>
              <w:t>16</w:t>
            </w:r>
            <w:r w:rsidRPr="00331652">
              <w:rPr>
                <w:rFonts w:ascii="Arial" w:hAnsi="Arial" w:cs="Arial"/>
              </w:rPr>
              <w:t>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</w:rPr>
            </w:pPr>
          </w:p>
        </w:tc>
      </w:tr>
      <w:tr w:rsidR="003753A3" w:rsidRPr="009956C4" w:rsidTr="00C82977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753A3" w:rsidRPr="009956C4" w:rsidTr="00C82977">
        <w:trPr>
          <w:trHeight w:val="66"/>
        </w:trPr>
        <w:tc>
          <w:tcPr>
            <w:tcW w:w="1592" w:type="dxa"/>
            <w:tcBorders>
              <w:left w:val="single" w:sz="12" w:space="0" w:color="244061" w:themeColor="accent1" w:themeShade="80"/>
            </w:tcBorders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3753A3" w:rsidRPr="009956C4" w:rsidRDefault="003753A3" w:rsidP="00C8297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3753A3" w:rsidRPr="00331652" w:rsidRDefault="003753A3" w:rsidP="00C8297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3753A3" w:rsidRPr="00331652" w:rsidRDefault="003753A3" w:rsidP="00C8297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3165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753A3" w:rsidRPr="009956C4" w:rsidTr="00C82977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Encargado de atender consultas</w:t>
            </w:r>
          </w:p>
          <w:p w:rsidR="003753A3" w:rsidRPr="00331652" w:rsidRDefault="003753A3" w:rsidP="00C82977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</w:rPr>
            </w:pPr>
          </w:p>
        </w:tc>
      </w:tr>
      <w:tr w:rsidR="003753A3" w:rsidRPr="009956C4" w:rsidTr="00C82977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331652" w:rsidRDefault="003753A3" w:rsidP="00C82977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Reynaldo Yujra Rojas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53A3" w:rsidRPr="00331652" w:rsidRDefault="003753A3" w:rsidP="00C829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</w:rPr>
            </w:pPr>
            <w:r w:rsidRPr="00154197">
              <w:rPr>
                <w:rFonts w:ascii="Arial" w:hAnsi="Arial" w:cs="Arial"/>
              </w:rPr>
              <w:t xml:space="preserve">Supervisor de Almacenes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331652" w:rsidRDefault="003753A3" w:rsidP="00C829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Bienes y Servicios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</w:rPr>
            </w:pPr>
          </w:p>
        </w:tc>
      </w:tr>
      <w:tr w:rsidR="003753A3" w:rsidRPr="006876A4" w:rsidTr="00C82977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3A3" w:rsidRPr="009956C4" w:rsidTr="00C82977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B514BE" w:rsidRDefault="003753A3" w:rsidP="00C8297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3753A3" w:rsidRPr="00B514BE" w:rsidRDefault="003753A3" w:rsidP="00C82977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47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B514BE">
              <w:rPr>
                <w:rFonts w:ascii="Arial" w:hAnsi="Arial" w:cs="Arial"/>
                <w:sz w:val="14"/>
                <w:szCs w:val="14"/>
              </w:rPr>
              <w:t>(Consultas Administrativas)</w:t>
            </w:r>
          </w:p>
          <w:p w:rsidR="003753A3" w:rsidRPr="009956C4" w:rsidRDefault="003753A3" w:rsidP="00C82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4509</w:t>
            </w:r>
            <w:r w:rsidRPr="00B514BE">
              <w:rPr>
                <w:rFonts w:ascii="Arial" w:hAnsi="Arial" w:cs="Arial"/>
                <w:sz w:val="14"/>
                <w:szCs w:val="14"/>
              </w:rPr>
              <w:t xml:space="preserve">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A3" w:rsidRPr="009956C4" w:rsidRDefault="003753A3" w:rsidP="00C82977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9956C4" w:rsidRDefault="003753A3" w:rsidP="00C82977">
            <w:pPr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49518E" w:rsidRDefault="000051F0" w:rsidP="00C8297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="003753A3" w:rsidRPr="00222E6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gmantilla@bcb.gob.bo</w:t>
              </w:r>
            </w:hyperlink>
            <w:r w:rsidR="003753A3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3753A3" w:rsidRPr="005600F0" w:rsidRDefault="003753A3" w:rsidP="00C82977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3753A3" w:rsidRPr="009956C4" w:rsidRDefault="000051F0" w:rsidP="00C82977">
            <w:pPr>
              <w:jc w:val="both"/>
              <w:rPr>
                <w:rFonts w:ascii="Arial" w:hAnsi="Arial" w:cs="Arial"/>
              </w:rPr>
            </w:pPr>
            <w:hyperlink r:id="rId8" w:history="1">
              <w:r w:rsidR="003753A3" w:rsidRPr="00441CDE">
                <w:rPr>
                  <w:rStyle w:val="Hipervnculo"/>
                  <w:sz w:val="14"/>
                </w:rPr>
                <w:t>cyujra@bcb.gob.bo</w:t>
              </w:r>
            </w:hyperlink>
            <w:r w:rsidR="003753A3" w:rsidRPr="00441CDE">
              <w:rPr>
                <w:rFonts w:ascii="Arial" w:hAnsi="Arial" w:cs="Arial"/>
                <w:sz w:val="12"/>
                <w:szCs w:val="14"/>
              </w:rPr>
              <w:t xml:space="preserve"> </w:t>
            </w:r>
            <w:r w:rsidR="003753A3" w:rsidRPr="00566DAC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</w:rPr>
            </w:pPr>
          </w:p>
        </w:tc>
      </w:tr>
      <w:tr w:rsidR="003753A3" w:rsidRPr="006876A4" w:rsidTr="00C82977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753A3" w:rsidRPr="006876A4" w:rsidRDefault="003753A3" w:rsidP="00C82977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753A3" w:rsidRPr="009956C4" w:rsidTr="00C82977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753A3" w:rsidRPr="009956C4" w:rsidRDefault="003753A3" w:rsidP="00C82977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Default="003753A3" w:rsidP="00C82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3753A3" w:rsidRDefault="003753A3" w:rsidP="00C82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3753A3" w:rsidRDefault="003753A3" w:rsidP="00C82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3753A3" w:rsidRPr="00B53080" w:rsidRDefault="003753A3" w:rsidP="00C82977">
            <w:pPr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753A3" w:rsidRPr="009956C4" w:rsidRDefault="003753A3" w:rsidP="00C82977">
            <w:pPr>
              <w:rPr>
                <w:rFonts w:ascii="Arial" w:hAnsi="Arial" w:cs="Arial"/>
              </w:rPr>
            </w:pPr>
          </w:p>
        </w:tc>
      </w:tr>
      <w:tr w:rsidR="003753A3" w:rsidRPr="00967208" w:rsidTr="00C82977">
        <w:tc>
          <w:tcPr>
            <w:tcW w:w="1592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3753A3" w:rsidRPr="00967208" w:rsidRDefault="003753A3" w:rsidP="00C8297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3753A3" w:rsidRPr="00967208" w:rsidRDefault="003753A3" w:rsidP="00C829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3753A3" w:rsidRPr="00967208" w:rsidRDefault="003753A3" w:rsidP="00C829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3753A3" w:rsidRPr="00967208" w:rsidRDefault="003753A3" w:rsidP="00C829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3753A3" w:rsidRPr="00967208" w:rsidRDefault="003753A3" w:rsidP="00C829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3753A3" w:rsidRPr="00967208" w:rsidRDefault="003753A3" w:rsidP="00C829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3753A3" w:rsidRPr="00967208" w:rsidRDefault="003753A3" w:rsidP="00C829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3753A3" w:rsidRPr="00967208" w:rsidRDefault="003753A3" w:rsidP="00C829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753A3" w:rsidRDefault="003753A3" w:rsidP="003753A3">
      <w:pPr>
        <w:rPr>
          <w:sz w:val="10"/>
          <w:szCs w:val="10"/>
          <w:lang w:val="es-BO"/>
        </w:rPr>
      </w:pPr>
    </w:p>
    <w:p w:rsidR="003753A3" w:rsidRDefault="003753A3" w:rsidP="003753A3">
      <w:pPr>
        <w:rPr>
          <w:sz w:val="10"/>
          <w:szCs w:val="10"/>
          <w:lang w:val="es-BO"/>
        </w:rPr>
      </w:pPr>
    </w:p>
    <w:p w:rsidR="003753A3" w:rsidRPr="00A16197" w:rsidRDefault="003753A3" w:rsidP="003753A3">
      <w:pPr>
        <w:rPr>
          <w:sz w:val="10"/>
          <w:szCs w:val="10"/>
          <w:lang w:val="es-BO"/>
        </w:rPr>
      </w:pPr>
    </w:p>
    <w:p w:rsidR="003753A3" w:rsidRPr="009956C4" w:rsidRDefault="003753A3" w:rsidP="003753A3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3753A3" w:rsidRPr="009956C4" w:rsidRDefault="003753A3" w:rsidP="003753A3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3753A3" w:rsidRPr="009956C4" w:rsidTr="00C82977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3A3" w:rsidRPr="00A16197" w:rsidRDefault="003753A3" w:rsidP="00C82977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2" w:name="OLE_LINK3"/>
            <w:bookmarkStart w:id="3" w:name="OLE_LINK4"/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753A3" w:rsidRPr="00A16197" w:rsidRDefault="003753A3" w:rsidP="00C8297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3753A3" w:rsidRPr="00A16197" w:rsidRDefault="003753A3" w:rsidP="003753A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Bs200.000.- (DOSCIENTOS MIL 00/100 BOLIVIANOS), plazo mínimo cuatro (4) días hábiles;</w:t>
            </w:r>
          </w:p>
          <w:p w:rsidR="003753A3" w:rsidRPr="00A16197" w:rsidRDefault="003753A3" w:rsidP="003753A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3753A3" w:rsidRPr="00A16197" w:rsidRDefault="003753A3" w:rsidP="00C82977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753A3" w:rsidRPr="00A16197" w:rsidRDefault="003753A3" w:rsidP="00C8297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753A3" w:rsidRPr="00A16197" w:rsidRDefault="003753A3" w:rsidP="00C82977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753A3" w:rsidRPr="00A16197" w:rsidRDefault="003753A3" w:rsidP="00C82977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3753A3" w:rsidRPr="003F0947" w:rsidRDefault="003753A3" w:rsidP="003753A3">
      <w:pPr>
        <w:jc w:val="right"/>
        <w:rPr>
          <w:rFonts w:ascii="Arial" w:hAnsi="Arial" w:cs="Arial"/>
          <w:sz w:val="14"/>
          <w:lang w:val="es-BO"/>
        </w:rPr>
      </w:pPr>
    </w:p>
    <w:p w:rsidR="003753A3" w:rsidRPr="009956C4" w:rsidRDefault="003753A3" w:rsidP="003753A3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3753A3" w:rsidRPr="00967208" w:rsidRDefault="003753A3" w:rsidP="003753A3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3753A3" w:rsidRPr="009956C4" w:rsidTr="00C82977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753A3" w:rsidRPr="009956C4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753A3" w:rsidRPr="009956C4" w:rsidRDefault="003753A3" w:rsidP="00C829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3A3" w:rsidRPr="009956C4" w:rsidRDefault="003753A3" w:rsidP="00C829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3A3" w:rsidRPr="009956C4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3753A3" w:rsidRPr="00CD1527" w:rsidTr="00C82977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753A3" w:rsidRPr="00CD1527" w:rsidTr="00C8297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6B19A6" w:rsidTr="00C8297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753A3" w:rsidRPr="006876A4" w:rsidTr="00C82977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6B19A6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3A3" w:rsidRPr="006B19A6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06531E" w:rsidTr="00C8297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753A3" w:rsidRPr="0006531E" w:rsidTr="00C82977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06531E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A756A8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06531E" w:rsidTr="00C8297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753A3" w:rsidRPr="0006531E" w:rsidTr="00C82977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06531E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A756A8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A756A8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A756A8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A756A8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A756A8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06531E" w:rsidTr="00C8297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753A3" w:rsidRPr="00CD1527" w:rsidTr="00C82977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06531E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06531E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Default="003753A3" w:rsidP="00C8297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A756A8">
              <w:rPr>
                <w:rFonts w:ascii="Arial" w:hAnsi="Arial" w:cs="Arial"/>
                <w:sz w:val="14"/>
              </w:rPr>
              <w:t xml:space="preserve">En </w:t>
            </w:r>
            <w:r w:rsidRPr="00A756A8">
              <w:rPr>
                <w:rFonts w:ascii="Arial" w:hAnsi="Arial" w:cs="Arial"/>
                <w:b/>
                <w:sz w:val="14"/>
              </w:rPr>
              <w:t>FORMA ELECTRÓNICA</w:t>
            </w:r>
            <w:r w:rsidRPr="00A756A8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  <w:p w:rsidR="003753A3" w:rsidRDefault="003753A3" w:rsidP="00C8297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</w:p>
          <w:p w:rsidR="003753A3" w:rsidRPr="000234FA" w:rsidRDefault="003753A3" w:rsidP="00C82977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x-none" w:eastAsia="en-US"/>
              </w:rPr>
            </w:pPr>
            <w:r w:rsidRPr="000234FA">
              <w:rPr>
                <w:rFonts w:ascii="Arial" w:hAnsi="Arial" w:cs="Arial"/>
                <w:b/>
                <w:bCs/>
                <w:sz w:val="12"/>
                <w:szCs w:val="12"/>
                <w:lang w:val="x-none" w:eastAsia="en-US"/>
              </w:rPr>
              <w:t xml:space="preserve">En caso de presentación de la </w:t>
            </w:r>
            <w:r w:rsidRPr="000234FA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x-none" w:eastAsia="en-US"/>
              </w:rPr>
              <w:t>Garantía de Seriedad de Propuesta en forma física</w:t>
            </w:r>
            <w:r w:rsidRPr="000234FA">
              <w:rPr>
                <w:rFonts w:ascii="Arial" w:hAnsi="Arial" w:cs="Arial"/>
                <w:b/>
                <w:bCs/>
                <w:sz w:val="12"/>
                <w:szCs w:val="12"/>
                <w:lang w:val="x-none" w:eastAsia="en-US"/>
              </w:rPr>
              <w:t>:</w:t>
            </w:r>
          </w:p>
          <w:p w:rsidR="003753A3" w:rsidRPr="00A13ED5" w:rsidRDefault="003753A3" w:rsidP="000051F0">
            <w:pPr>
              <w:rPr>
                <w:rFonts w:ascii="Arial" w:hAnsi="Arial" w:cs="Arial"/>
              </w:rPr>
            </w:pPr>
            <w:r w:rsidRPr="000234FA">
              <w:rPr>
                <w:rFonts w:ascii="Arial" w:hAnsi="Arial" w:cs="Arial"/>
                <w:sz w:val="12"/>
                <w:szCs w:val="12"/>
              </w:rPr>
              <w:t>Ventanilla Única de Correspondencia – PB del Edificio del BCB, ubicado en el Calle Ayacucho esq. Mercado, La Paz- Bolivia.</w:t>
            </w:r>
            <w:r w:rsidR="00AD6648">
              <w:rPr>
                <w:rFonts w:ascii="Arial" w:hAnsi="Arial" w:cs="Arial"/>
                <w:sz w:val="12"/>
                <w:szCs w:val="12"/>
                <w:lang w:val="es-BO"/>
              </w:rPr>
              <w:t xml:space="preserve"> en sobre cerrado, consignando el objeto del presente proceso de contratación, considerando lo señalado  en el numeral 1</w:t>
            </w:r>
            <w:r w:rsidR="000051F0">
              <w:rPr>
                <w:rFonts w:ascii="Arial" w:hAnsi="Arial" w:cs="Arial"/>
                <w:sz w:val="12"/>
                <w:szCs w:val="12"/>
                <w:lang w:val="es-BO"/>
              </w:rPr>
              <w:t>3</w:t>
            </w:r>
            <w:r w:rsidR="00AD6648">
              <w:rPr>
                <w:rFonts w:ascii="Arial" w:hAnsi="Arial" w:cs="Arial"/>
                <w:sz w:val="12"/>
                <w:szCs w:val="12"/>
                <w:lang w:val="es-BO"/>
              </w:rPr>
              <w:t>.1.5  de la Sección II del presente DBC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bookmarkStart w:id="4" w:name="_GoBack"/>
        <w:bookmarkEnd w:id="4"/>
      </w:tr>
      <w:tr w:rsidR="003753A3" w:rsidRPr="00CD1527" w:rsidTr="00C82977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753A3" w:rsidRPr="00CD1527" w:rsidTr="00C8297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5600F0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  <w:r w:rsidRPr="00CD1527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3F0947" w:rsidRDefault="003753A3" w:rsidP="00C82977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0947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zoom: </w:t>
            </w:r>
          </w:p>
          <w:p w:rsidR="003753A3" w:rsidRPr="004B260C" w:rsidRDefault="003753A3" w:rsidP="00C8297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4B260C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https://bcb-gob-bo.zoom.us/j/89839079119?pwd=VmlsLzI2TDhjTkFYRURDb0w1bDk5QT09</w:t>
            </w:r>
          </w:p>
          <w:p w:rsidR="003753A3" w:rsidRPr="004B260C" w:rsidRDefault="003753A3" w:rsidP="00C8297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3753A3" w:rsidRPr="004B260C" w:rsidRDefault="003753A3" w:rsidP="00C8297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4B260C">
              <w:rPr>
                <w:rStyle w:val="Hipervnculo"/>
                <w:rFonts w:ascii="Arial" w:hAnsi="Arial" w:cs="Arial"/>
                <w:sz w:val="14"/>
                <w:szCs w:val="14"/>
              </w:rPr>
              <w:t>ID de reunión: 898 3907 9119</w:t>
            </w:r>
          </w:p>
          <w:p w:rsidR="003753A3" w:rsidRPr="00CD1527" w:rsidRDefault="003753A3" w:rsidP="00C8297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B260C">
              <w:rPr>
                <w:rStyle w:val="Hipervnculo"/>
                <w:rFonts w:ascii="Arial" w:hAnsi="Arial" w:cs="Arial"/>
                <w:sz w:val="14"/>
                <w:szCs w:val="14"/>
              </w:rPr>
              <w:t>Código de acceso: 885833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rPr>
          <w:trHeight w:val="137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753A3" w:rsidRPr="00CD1527" w:rsidTr="00C8297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753A3" w:rsidRPr="00CD1527" w:rsidTr="00C82977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Pr="00CD1527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753A3" w:rsidRPr="00CD1527" w:rsidTr="00C8297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CD1527" w:rsidTr="00C8297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753A3" w:rsidRPr="00CD1527" w:rsidTr="00C82977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53A3" w:rsidRPr="00CD1527" w:rsidRDefault="003753A3" w:rsidP="00C8297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3A3" w:rsidRPr="00CD1527" w:rsidRDefault="003753A3" w:rsidP="00C8297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CD1527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753A3" w:rsidRPr="00967208" w:rsidTr="00C82977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53A3" w:rsidRPr="00967208" w:rsidRDefault="003753A3" w:rsidP="00C8297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53A3" w:rsidRPr="00967208" w:rsidRDefault="003753A3" w:rsidP="00C8297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3A3" w:rsidRPr="00967208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3A3" w:rsidRPr="00967208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967208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3A3" w:rsidRPr="00967208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753A3" w:rsidRPr="00967208" w:rsidRDefault="003753A3" w:rsidP="00C829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753A3" w:rsidRPr="00A244D6" w:rsidRDefault="003753A3" w:rsidP="003753A3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753A3" w:rsidRDefault="003753A3" w:rsidP="003753A3">
      <w:pPr>
        <w:rPr>
          <w:lang w:val="es-BO"/>
        </w:rPr>
      </w:pPr>
    </w:p>
    <w:p w:rsidR="005B5F41" w:rsidRDefault="005B5F41" w:rsidP="003753A3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</w:p>
    <w:sectPr w:rsidR="005B5F41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051F0"/>
    <w:rsid w:val="000232C5"/>
    <w:rsid w:val="000527B8"/>
    <w:rsid w:val="00081DEC"/>
    <w:rsid w:val="000A4E8A"/>
    <w:rsid w:val="000C1C0F"/>
    <w:rsid w:val="000E38A6"/>
    <w:rsid w:val="000F0FB8"/>
    <w:rsid w:val="00172E3D"/>
    <w:rsid w:val="001E7072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753A3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D6648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ujr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7171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6</cp:revision>
  <cp:lastPrinted>2016-11-23T23:13:00Z</cp:lastPrinted>
  <dcterms:created xsi:type="dcterms:W3CDTF">2023-09-05T21:15:00Z</dcterms:created>
  <dcterms:modified xsi:type="dcterms:W3CDTF">2023-09-05T22:38:00Z</dcterms:modified>
</cp:coreProperties>
</file>