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5.65pt" o:ole="">
                  <v:imagedata r:id="rId5" o:title="" gain="45875f" blacklevel="13107f" grayscale="t"/>
                </v:shape>
                <o:OLEObject Type="Embed" ProgID="MSPhotoEd.3" ShapeID="_x0000_i1025" DrawAspect="Content" ObjectID="_1785328172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A93F64" w:rsidRPr="00A93F64" w:rsidRDefault="00A93F64" w:rsidP="00A93F64">
      <w:pPr>
        <w:rPr>
          <w:b/>
          <w:sz w:val="8"/>
          <w:szCs w:val="10"/>
        </w:rPr>
      </w:pPr>
      <w:bookmarkStart w:id="0" w:name="_Toc94726525"/>
      <w:r w:rsidRPr="00A93F64">
        <w:rPr>
          <w:rFonts w:cs="Arial"/>
          <w:b/>
          <w:szCs w:val="18"/>
          <w:lang w:val="es-BO"/>
        </w:rPr>
        <w:t xml:space="preserve">1. </w:t>
      </w:r>
      <w:r w:rsidR="00627B48" w:rsidRPr="00A93F64">
        <w:rPr>
          <w:rFonts w:cs="Arial"/>
          <w:b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A93F64">
        <w:rPr>
          <w:b/>
          <w:sz w:val="8"/>
          <w:szCs w:val="10"/>
        </w:rPr>
        <w:t xml:space="preserve"> </w:t>
      </w:r>
      <w:bookmarkEnd w:id="1"/>
    </w:p>
    <w:p w:rsidR="00A93F64" w:rsidRPr="00A93F64" w:rsidRDefault="00A93F64" w:rsidP="00A93F6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A93F64" w:rsidRPr="009956C4" w:rsidTr="00220F31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93F64" w:rsidRPr="009956C4" w:rsidRDefault="00A93F64" w:rsidP="00A93F6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A93F64" w:rsidRPr="0060074B" w:rsidTr="00220F31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60074B" w:rsidRDefault="00A93F64" w:rsidP="00220F3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93F64" w:rsidRPr="00902822" w:rsidTr="00220F31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</w:tr>
      <w:tr w:rsidR="00A93F64" w:rsidRPr="00902822" w:rsidTr="00220F31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8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2"/>
              </w:rPr>
            </w:pPr>
            <w:r w:rsidRPr="00F17E7F">
              <w:rPr>
                <w:rFonts w:ascii="Arial" w:hAnsi="Arial" w:cs="Arial"/>
                <w:sz w:val="12"/>
              </w:rPr>
              <w:t xml:space="preserve">ANPE – P Nº </w:t>
            </w:r>
            <w:r>
              <w:rPr>
                <w:rFonts w:ascii="Arial" w:hAnsi="Arial" w:cs="Arial"/>
                <w:sz w:val="12"/>
              </w:rPr>
              <w:t>139</w:t>
            </w:r>
            <w:r w:rsidRPr="00F17E7F">
              <w:rPr>
                <w:rFonts w:ascii="Arial" w:hAnsi="Arial" w:cs="Arial"/>
                <w:sz w:val="12"/>
              </w:rPr>
              <w:t>/202</w:t>
            </w:r>
            <w:r>
              <w:rPr>
                <w:rFonts w:ascii="Arial" w:hAnsi="Arial" w:cs="Arial"/>
                <w:sz w:val="12"/>
              </w:rPr>
              <w:t>4</w:t>
            </w:r>
            <w:r w:rsidRPr="00F17E7F">
              <w:rPr>
                <w:rFonts w:ascii="Arial" w:hAnsi="Arial" w:cs="Arial"/>
                <w:sz w:val="12"/>
              </w:rPr>
              <w:t>-</w:t>
            </w:r>
            <w:r>
              <w:rPr>
                <w:rFonts w:ascii="Arial" w:hAnsi="Arial" w:cs="Arial"/>
                <w:sz w:val="12"/>
              </w:rPr>
              <w:t>1</w:t>
            </w:r>
            <w:r w:rsidRPr="00F17E7F">
              <w:rPr>
                <w:rFonts w:ascii="Arial" w:hAnsi="Arial" w:cs="Arial"/>
                <w:sz w:val="12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</w:tr>
      <w:tr w:rsidR="00A93F64" w:rsidRPr="00902822" w:rsidTr="00220F31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A93F64" w:rsidRPr="00902822" w:rsidTr="00220F31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93F64" w:rsidRPr="00902822" w:rsidTr="00220F31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F64" w:rsidRPr="00C00BC3" w:rsidRDefault="00A93F64" w:rsidP="00220F3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F64" w:rsidRPr="00902822" w:rsidRDefault="00A93F64" w:rsidP="00220F3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F64" w:rsidRPr="00902822" w:rsidRDefault="00A93F64" w:rsidP="00220F3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F64" w:rsidRPr="00902822" w:rsidRDefault="00A93F64" w:rsidP="00220F3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A93F64" w:rsidRPr="00902822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F64" w:rsidRPr="00902822" w:rsidTr="00220F31">
        <w:trPr>
          <w:trHeight w:hRule="exact" w:val="463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C00BC3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500D75" w:rsidRDefault="00A93F64" w:rsidP="00220F31">
            <w:pPr>
              <w:jc w:val="center"/>
              <w:rPr>
                <w:rFonts w:ascii="Arial" w:hAnsi="Arial" w:cs="Arial"/>
                <w:b/>
              </w:rPr>
            </w:pPr>
            <w:r w:rsidRPr="00F33478">
              <w:rPr>
                <w:rFonts w:ascii="Arial" w:hAnsi="Arial" w:cs="Arial"/>
                <w:b/>
                <w:bCs/>
              </w:rPr>
              <w:t>PROVISIÓN E INSTALACIÓN DE ALIMENTADORES SECUNDARIOS PARA ENERGÍA NORMAL DEL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C00BC3" w:rsidRDefault="00A93F64" w:rsidP="00220F31">
            <w:pPr>
              <w:rPr>
                <w:rFonts w:ascii="Arial" w:hAnsi="Arial" w:cs="Arial"/>
                <w:sz w:val="12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C00BC3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A93F64" w:rsidRPr="00902822" w:rsidTr="00220F31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990.726,00 (Novecientos Noventa Mil Setecientos Veintiséis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C00BC3" w:rsidRDefault="00A93F64" w:rsidP="00220F31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02822" w:rsidRDefault="00A93F64" w:rsidP="00220F3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A93F64" w:rsidRPr="00902822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00BC3">
              <w:rPr>
                <w:rFonts w:ascii="Arial" w:hAnsi="Arial" w:cs="Arial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F25D38" w:rsidRDefault="00A93F64" w:rsidP="00220F31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El plazo máximo es de ochenta y cinco (85) días calendario, computables a partir de la fecha establecida en la Orden de Proceder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02822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93F64" w:rsidRPr="00902822" w:rsidRDefault="00A93F64" w:rsidP="00220F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F64" w:rsidRPr="00902822" w:rsidTr="00220F31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02822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02822" w:rsidRDefault="00A93F64" w:rsidP="00220F31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02822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60074B" w:rsidRDefault="00A93F64" w:rsidP="00220F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F64" w:rsidRPr="009956C4" w:rsidTr="00220F3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C00BC3" w:rsidRDefault="00A93F64" w:rsidP="00220F31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 xml:space="preserve">Garantía de Cumplimiento </w:t>
            </w:r>
          </w:p>
          <w:p w:rsidR="00A93F64" w:rsidRPr="00DB38B8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956C4" w:rsidRDefault="00A93F64" w:rsidP="00220F31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60074B" w:rsidRDefault="00A93F64" w:rsidP="00220F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F64" w:rsidRPr="009956C4" w:rsidTr="00220F3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A93F64" w:rsidRPr="009956C4" w:rsidTr="00220F31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DB38B8" w:rsidRDefault="00A93F64" w:rsidP="00220F3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A93F64" w:rsidRPr="00156685" w:rsidRDefault="00A93F64" w:rsidP="00220F3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93F64" w:rsidRPr="009956C4" w:rsidTr="00220F31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93F64" w:rsidRPr="009956C4" w:rsidRDefault="00A93F64" w:rsidP="00220F3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A93F64" w:rsidRPr="009956C4" w:rsidTr="00220F31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93F64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  <w:p w:rsidR="00A93F64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</w:p>
          <w:p w:rsidR="00A93F64" w:rsidRPr="00C00BC3" w:rsidRDefault="00A93F64" w:rsidP="00220F31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Nombre del Organismo Financiador</w:t>
            </w:r>
          </w:p>
          <w:p w:rsidR="00A93F64" w:rsidRPr="00F10648" w:rsidRDefault="00A93F64" w:rsidP="00220F3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4"/>
              </w:rPr>
            </w:pPr>
          </w:p>
        </w:tc>
      </w:tr>
      <w:tr w:rsidR="00A93F64" w:rsidRPr="009956C4" w:rsidTr="00220F31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3F64" w:rsidRPr="009956C4" w:rsidTr="00220F3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93F64" w:rsidRPr="009956C4" w:rsidTr="00220F31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93F64" w:rsidRPr="009956C4" w:rsidRDefault="00A93F64" w:rsidP="00A93F6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A93F64" w:rsidRPr="009956C4" w:rsidTr="00220F3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93F64" w:rsidRPr="009956C4" w:rsidTr="00220F31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F10648" w:rsidRDefault="00A93F64" w:rsidP="00220F31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F64" w:rsidRPr="00F10648" w:rsidRDefault="00A93F64" w:rsidP="00220F31">
            <w:pPr>
              <w:jc w:val="right"/>
              <w:rPr>
                <w:rFonts w:ascii="Arial" w:hAnsi="Arial" w:cs="Arial"/>
              </w:rPr>
            </w:pPr>
            <w:r w:rsidRPr="00F1064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F10648" w:rsidRDefault="00A93F64" w:rsidP="00220F31">
            <w:pPr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</w:p>
        </w:tc>
      </w:tr>
      <w:tr w:rsidR="00A93F64" w:rsidRPr="009956C4" w:rsidTr="00220F3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93F64" w:rsidRPr="009956C4" w:rsidTr="00220F31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A93F64" w:rsidRPr="009956C4" w:rsidRDefault="00A93F64" w:rsidP="00220F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A93F64" w:rsidRPr="009956C4" w:rsidRDefault="00A93F64" w:rsidP="00220F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A93F64" w:rsidRPr="009956C4" w:rsidRDefault="00A93F64" w:rsidP="00220F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A93F64" w:rsidRPr="009956C4" w:rsidRDefault="00A93F64" w:rsidP="00220F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A93F64" w:rsidRPr="009956C4" w:rsidTr="00220F31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Default="00A93F64" w:rsidP="00220F3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A93F64" w:rsidRPr="009956C4" w:rsidRDefault="00A93F64" w:rsidP="00220F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2F144D" w:rsidRDefault="00A93F64" w:rsidP="00220F3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</w:p>
        </w:tc>
      </w:tr>
      <w:tr w:rsidR="00A93F64" w:rsidRPr="009956C4" w:rsidTr="00220F31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2F144D" w:rsidRDefault="00A93F64" w:rsidP="00220F31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Maria Rosa Quisbert Huiza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895CF9" w:rsidRDefault="00A93F64" w:rsidP="00220F3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895CF9" w:rsidRDefault="00A93F64" w:rsidP="00220F3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</w:p>
        </w:tc>
      </w:tr>
      <w:tr w:rsidR="00A93F64" w:rsidRPr="009956C4" w:rsidTr="00220F3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</w:p>
        </w:tc>
      </w:tr>
      <w:tr w:rsidR="00A93F64" w:rsidRPr="009956C4" w:rsidTr="00220F31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FC2F68" w:rsidRDefault="00A93F64" w:rsidP="00220F3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A93F64" w:rsidRPr="0006032F" w:rsidRDefault="00A93F64" w:rsidP="00220F3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A93F64" w:rsidRPr="009956C4" w:rsidRDefault="00A93F64" w:rsidP="00220F31">
            <w:pPr>
              <w:rPr>
                <w:rFonts w:ascii="Arial" w:hAnsi="Arial" w:cs="Arial"/>
              </w:rPr>
            </w:pPr>
            <w: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3F64" w:rsidRPr="0006032F" w:rsidRDefault="00A93F64" w:rsidP="00220F3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gmantilla</w:t>
            </w:r>
            <w:proofErr w:type="gramEnd"/>
            <w:hyperlink r:id="rId7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A93F64" w:rsidRPr="0006032F" w:rsidRDefault="00A93F64" w:rsidP="00220F3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A93F64" w:rsidRPr="009956C4" w:rsidRDefault="00A93F64" w:rsidP="00220F31">
            <w:pPr>
              <w:rPr>
                <w:rFonts w:ascii="Arial" w:hAnsi="Arial" w:cs="Arial"/>
              </w:rPr>
            </w:pPr>
            <w:hyperlink r:id="rId8" w:history="1">
              <w:r w:rsidRPr="00351B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mhquisbert@bcb.gob.bo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3F64" w:rsidRPr="009956C4" w:rsidRDefault="00A93F64" w:rsidP="00220F31">
            <w:pPr>
              <w:rPr>
                <w:rFonts w:ascii="Arial" w:hAnsi="Arial" w:cs="Arial"/>
              </w:rPr>
            </w:pPr>
          </w:p>
        </w:tc>
      </w:tr>
      <w:tr w:rsidR="00A93F64" w:rsidRPr="009956C4" w:rsidTr="00220F3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93F64" w:rsidRPr="009956C4" w:rsidTr="00220F31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402294" w:rsidRDefault="00A93F64" w:rsidP="00220F3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02249B" w:rsidRDefault="00A93F64" w:rsidP="00220F31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A93F64" w:rsidRPr="0002249B" w:rsidRDefault="00A93F64" w:rsidP="00220F31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A93F64" w:rsidRPr="0002249B" w:rsidRDefault="00A93F64" w:rsidP="00220F31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A93F64" w:rsidRPr="0002249B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  <w:r w:rsidRPr="0002249B"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93F64" w:rsidRPr="009956C4" w:rsidTr="00220F31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93F64" w:rsidRPr="009956C4" w:rsidRDefault="00A93F64" w:rsidP="00220F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A93F64" w:rsidRDefault="00A93F64" w:rsidP="00A93F64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</w:p>
    <w:p w:rsidR="00A93F64" w:rsidRDefault="00A93F64" w:rsidP="00A93F64">
      <w:pPr>
        <w:rPr>
          <w:lang w:val="es-BO"/>
        </w:rPr>
      </w:pPr>
    </w:p>
    <w:p w:rsidR="00A93F64" w:rsidRPr="00DD418B" w:rsidRDefault="00A93F64" w:rsidP="00A93F64">
      <w:pPr>
        <w:rPr>
          <w:lang w:val="es-BO"/>
        </w:rPr>
      </w:pPr>
    </w:p>
    <w:p w:rsidR="00A93F64" w:rsidRPr="009956C4" w:rsidRDefault="00A93F64" w:rsidP="00A93F64">
      <w:pPr>
        <w:pStyle w:val="Ttulo1"/>
        <w:numPr>
          <w:ilvl w:val="0"/>
          <w:numId w:val="14"/>
        </w:numPr>
        <w:tabs>
          <w:tab w:val="num" w:pos="567"/>
        </w:tabs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A93F64" w:rsidRPr="00865FD3" w:rsidRDefault="00A93F64" w:rsidP="00A93F64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A93F64" w:rsidRPr="009956C4" w:rsidTr="00220F31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F64" w:rsidRPr="0060074B" w:rsidRDefault="00A93F64" w:rsidP="00220F31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3" w:name="OLE_LINK3"/>
            <w:bookmarkStart w:id="4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93F64" w:rsidRPr="0060074B" w:rsidRDefault="00A93F64" w:rsidP="00220F3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A93F64" w:rsidRPr="0060074B" w:rsidRDefault="00A93F64" w:rsidP="00A93F6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A93F64" w:rsidRPr="0060074B" w:rsidRDefault="00A93F64" w:rsidP="00A93F6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</w:t>
            </w:r>
            <w:bookmarkStart w:id="5" w:name="_GoBack"/>
            <w:bookmarkEnd w:id="5"/>
            <w:r w:rsidRPr="0060074B">
              <w:rPr>
                <w:rFonts w:ascii="Arial" w:hAnsi="Arial" w:cs="Arial"/>
                <w:sz w:val="12"/>
                <w:lang w:val="es-BO"/>
              </w:rPr>
              <w:t>s200.000.- (DOSCIENTOS MIL 00/100 BOLIVIANOS) hasta Bs1.000.000.- (UN MILLÓN 00/100 BOLIVIANOS), plazo mínimo ocho (8) días hábiles.</w:t>
            </w:r>
          </w:p>
          <w:p w:rsidR="00A93F64" w:rsidRPr="0060074B" w:rsidRDefault="00A93F64" w:rsidP="00220F31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93F64" w:rsidRPr="0060074B" w:rsidRDefault="00A93F64" w:rsidP="00220F3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93F64" w:rsidRPr="0060074B" w:rsidRDefault="00A93F64" w:rsidP="00220F3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93F64" w:rsidRPr="0060074B" w:rsidRDefault="00A93F64" w:rsidP="00220F31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A93F64" w:rsidRPr="009956C4" w:rsidRDefault="00A93F64" w:rsidP="00A93F64">
      <w:pPr>
        <w:jc w:val="right"/>
        <w:rPr>
          <w:rFonts w:ascii="Arial" w:hAnsi="Arial" w:cs="Arial"/>
          <w:lang w:val="es-BO"/>
        </w:rPr>
      </w:pPr>
    </w:p>
    <w:p w:rsidR="00A93F64" w:rsidRPr="009956C4" w:rsidRDefault="00A93F64" w:rsidP="00A93F64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A93F64" w:rsidRPr="00865FD3" w:rsidRDefault="00A93F64" w:rsidP="00A93F64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A93F64" w:rsidRPr="009956C4" w:rsidTr="00220F31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93F64" w:rsidRPr="009956C4" w:rsidTr="00220F31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DD6359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418B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DD418B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DD6359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418B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DD418B" w:rsidRDefault="00A93F64" w:rsidP="00220F3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DD6359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DD6359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450BAA" w:rsidRDefault="00A93F64" w:rsidP="00220F31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A93F64" w:rsidRPr="00A378E9" w:rsidRDefault="00A93F64" w:rsidP="00220F3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A378E9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https://bcb-gob-bo.zoom.us/j/86841077573?pwd=VEvbuPBKRx0DyfnUuJqc1V9nCM4uvy.1</w:t>
            </w:r>
          </w:p>
          <w:p w:rsidR="00A93F64" w:rsidRPr="00A378E9" w:rsidRDefault="00A93F64" w:rsidP="00220F3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</w:p>
          <w:p w:rsidR="00A93F64" w:rsidRPr="00A378E9" w:rsidRDefault="00A93F64" w:rsidP="00220F3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A378E9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868 4107 7573</w:t>
            </w:r>
          </w:p>
          <w:p w:rsidR="00A93F64" w:rsidRPr="00FC4040" w:rsidRDefault="00A93F64" w:rsidP="00220F31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378E9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681633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471994" w:rsidRDefault="00A93F64" w:rsidP="00220F3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A93F64" w:rsidRPr="00471994" w:rsidRDefault="00A93F64" w:rsidP="00A93F6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A93F64" w:rsidRPr="00471994" w:rsidRDefault="00A93F64" w:rsidP="00220F3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A93F64" w:rsidRDefault="00A93F64" w:rsidP="00220F3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3F64" w:rsidRPr="00471994" w:rsidRDefault="00A93F64" w:rsidP="00220F3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A93F64" w:rsidRPr="00865FD3" w:rsidRDefault="00A93F64" w:rsidP="00220F31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47199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3F64" w:rsidRPr="009956C4" w:rsidTr="00220F31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865FD3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3F64" w:rsidRPr="009956C4" w:rsidTr="00220F31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13B0F" w:rsidRDefault="00A93F64" w:rsidP="00220F3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13B0F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13B0F" w:rsidRDefault="00A93F64" w:rsidP="00220F3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13B0F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13B0F" w:rsidRDefault="00A93F64" w:rsidP="00220F3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450BAA" w:rsidRDefault="00A93F64" w:rsidP="00220F31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A93F64" w:rsidRPr="00F33EA3" w:rsidRDefault="00A93F64" w:rsidP="00220F3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F33EA3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https://bcb-gob-bo.zoom.us/j/81618422413?pwd=Qc3rSAZ5JZd7GDvR7nnFedbv2abOa9.1</w:t>
            </w:r>
          </w:p>
          <w:p w:rsidR="00A93F64" w:rsidRPr="00F33EA3" w:rsidRDefault="00A93F64" w:rsidP="00220F3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</w:p>
          <w:p w:rsidR="00A93F64" w:rsidRPr="00F33EA3" w:rsidRDefault="00A93F64" w:rsidP="00220F3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F33EA3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816 1842 2413</w:t>
            </w:r>
          </w:p>
          <w:p w:rsidR="00A93F64" w:rsidRPr="009956C4" w:rsidRDefault="00A93F64" w:rsidP="00220F31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F33EA3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662911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3F64" w:rsidRPr="009956C4" w:rsidTr="00220F31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865FD3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865FD3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865FD3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865FD3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865FD3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9956C4" w:rsidTr="00220F3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9956C4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9956C4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A244D6" w:rsidTr="00220F3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3F64" w:rsidRPr="00A244D6" w:rsidTr="00220F3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3F64" w:rsidRPr="00A244D6" w:rsidRDefault="00A93F64" w:rsidP="00220F3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F64" w:rsidRPr="00A244D6" w:rsidRDefault="00A93F64" w:rsidP="00220F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A244D6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3F64" w:rsidRPr="00AB2AC8" w:rsidTr="00220F31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3F64" w:rsidRPr="00AB2AC8" w:rsidRDefault="00A93F64" w:rsidP="00220F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3F64" w:rsidRPr="00AB2AC8" w:rsidRDefault="00A93F64" w:rsidP="00220F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F64" w:rsidRPr="00AB2AC8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F64" w:rsidRPr="00AB2AC8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AB2AC8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3F64" w:rsidRPr="00AB2AC8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3F64" w:rsidRPr="00AB2AC8" w:rsidRDefault="00A93F64" w:rsidP="00220F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93F64" w:rsidRPr="00944754" w:rsidRDefault="00A93F64" w:rsidP="00A93F6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8B1998" w:rsidRPr="001B52FA" w:rsidRDefault="008B1998" w:rsidP="00A93F64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ascii="Verdana" w:hAnsi="Verdana" w:cs="Arial"/>
          <w:b w:val="0"/>
          <w:i/>
          <w:sz w:val="18"/>
          <w:szCs w:val="18"/>
          <w:u w:val="none"/>
          <w:lang w:val="es-BO"/>
        </w:rPr>
      </w:pPr>
    </w:p>
    <w:sectPr w:rsidR="008B1998" w:rsidRPr="001B52FA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1D65"/>
    <w:multiLevelType w:val="hybridMultilevel"/>
    <w:tmpl w:val="73027E06"/>
    <w:lvl w:ilvl="0" w:tplc="559214EE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7252558"/>
    <w:multiLevelType w:val="hybridMultilevel"/>
    <w:tmpl w:val="5BC27D3E"/>
    <w:lvl w:ilvl="0" w:tplc="2CEE2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2"/>
  </w:num>
  <w:num w:numId="9">
    <w:abstractNumId w:val="14"/>
  </w:num>
  <w:num w:numId="10">
    <w:abstractNumId w:val="25"/>
  </w:num>
  <w:num w:numId="11">
    <w:abstractNumId w:val="13"/>
  </w:num>
  <w:num w:numId="12">
    <w:abstractNumId w:val="21"/>
  </w:num>
  <w:num w:numId="13">
    <w:abstractNumId w:val="20"/>
  </w:num>
  <w:num w:numId="1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7908"/>
    <w:rsid w:val="000232C5"/>
    <w:rsid w:val="000527B8"/>
    <w:rsid w:val="00057669"/>
    <w:rsid w:val="00081DEC"/>
    <w:rsid w:val="000A4E8A"/>
    <w:rsid w:val="000C1C0F"/>
    <w:rsid w:val="000E38A6"/>
    <w:rsid w:val="000F0FB8"/>
    <w:rsid w:val="00172E3D"/>
    <w:rsid w:val="001B52FA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93F64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quisbert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7920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2024-08-16T19:39:00Z</cp:lastPrinted>
  <dcterms:created xsi:type="dcterms:W3CDTF">2024-08-16T19:43:00Z</dcterms:created>
  <dcterms:modified xsi:type="dcterms:W3CDTF">2024-08-16T19:43:00Z</dcterms:modified>
</cp:coreProperties>
</file>