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>
                  <v:imagedata r:id="rId5" o:title="" gain="45875f" blacklevel="13107f" grayscale="t"/>
                </v:shape>
                <o:OLEObject Type="Embed" ProgID="MSPhotoEd.3" ShapeID="_x0000_i1025" DrawAspect="Content" ObjectID="_1783442414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BE0C3D" w:rsidRPr="008F554D" w:rsidRDefault="00627B48" w:rsidP="00BE0C3D">
      <w:pPr>
        <w:pStyle w:val="Puesto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E0C3D" w:rsidRPr="008F554D" w:rsidTr="00164E6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BE0C3D" w:rsidRPr="008F554D" w:rsidTr="00164E6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BE0C3D" w:rsidRPr="008F554D" w:rsidTr="00164E6A">
        <w:trPr>
          <w:trHeight w:val="28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E325C8" w:rsidRDefault="00BE0C3D" w:rsidP="00164E6A">
            <w:pPr>
              <w:jc w:val="center"/>
              <w:rPr>
                <w:rFonts w:ascii="Arial" w:hAnsi="Arial" w:cs="Arial"/>
                <w:b/>
              </w:rPr>
            </w:pPr>
            <w:r w:rsidRPr="00E325C8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</w:tr>
      <w:tr w:rsidR="00BE0C3D" w:rsidRPr="008F554D" w:rsidTr="00164E6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 – P Nº 68</w:t>
            </w:r>
            <w:r w:rsidRPr="00F7599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4-2</w:t>
            </w:r>
            <w:r w:rsidRPr="00F75995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BE0C3D" w:rsidRPr="008F554D" w:rsidTr="00164E6A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82"/>
        <w:gridCol w:w="280"/>
        <w:gridCol w:w="281"/>
        <w:gridCol w:w="271"/>
        <w:gridCol w:w="276"/>
        <w:gridCol w:w="275"/>
        <w:gridCol w:w="280"/>
        <w:gridCol w:w="276"/>
        <w:gridCol w:w="276"/>
        <w:gridCol w:w="296"/>
        <w:gridCol w:w="273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</w:tr>
      <w:tr w:rsidR="00BE0C3D" w:rsidRPr="008F554D" w:rsidTr="00164E6A">
        <w:trPr>
          <w:trHeight w:val="317"/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EVALUACION EXTERNA DE ETHICAL HACKING PARA SERVIDORES E INFRAESTRUCTURA</w:t>
            </w:r>
            <w:r w:rsidRPr="008F554D">
              <w:rPr>
                <w:rFonts w:ascii="Arial" w:hAnsi="Arial" w:cs="Arial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63" w:type="dxa"/>
            <w:gridSpan w:val="9"/>
            <w:tcBorders>
              <w:lef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Precio Referencial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5A57E7" w:rsidRDefault="00BE0C3D" w:rsidP="00164E6A">
            <w:pPr>
              <w:jc w:val="both"/>
              <w:rPr>
                <w:rFonts w:ascii="Arial" w:hAnsi="Arial" w:cs="Arial"/>
                <w:b/>
              </w:rPr>
            </w:pPr>
            <w:r w:rsidRPr="005A57E7">
              <w:rPr>
                <w:rFonts w:ascii="Arial" w:hAnsi="Arial" w:cs="Arial"/>
                <w:b/>
              </w:rPr>
              <w:t xml:space="preserve">Bs </w:t>
            </w:r>
            <w:r>
              <w:rPr>
                <w:rFonts w:ascii="Arial" w:hAnsi="Arial" w:cs="Arial"/>
                <w:b/>
              </w:rPr>
              <w:t>160</w:t>
            </w:r>
            <w:r w:rsidRPr="005A57E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000</w:t>
            </w:r>
            <w:r w:rsidRPr="005A57E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00 (Ciento Sesenta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trHeight w:val="127"/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trHeight w:val="240"/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b/>
                <w:szCs w:val="2"/>
              </w:rPr>
            </w:pPr>
            <w:r w:rsidRPr="008F554D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13" w:type="dxa"/>
            <w:gridSpan w:val="16"/>
            <w:tcBorders>
              <w:left w:val="single" w:sz="4" w:space="0" w:color="auto"/>
            </w:tcBorders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8F554D">
              <w:rPr>
                <w:rFonts w:ascii="Arial" w:hAnsi="Arial" w:cs="Arial"/>
                <w:bCs/>
              </w:rPr>
              <w:t xml:space="preserve">Plazo para la ejecución de la Consultoría </w:t>
            </w:r>
          </w:p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Cs/>
              </w:rPr>
              <w:t>(días calendario)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1669B3" w:rsidRDefault="00BE0C3D" w:rsidP="00BE0C3D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Plazo para la ejecución de la consultoría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será de un total de </w:t>
            </w:r>
            <w:r w:rsidRPr="008733BC">
              <w:rPr>
                <w:rFonts w:cs="Arial"/>
                <w:b/>
                <w:iCs/>
                <w:color w:val="000000"/>
                <w:szCs w:val="18"/>
                <w:u w:val="single"/>
                <w:lang w:val="es-ES_tradnl" w:eastAsia="es-ES"/>
              </w:rPr>
              <w:t>100 días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calendario a partir de la fecha establecida en la orden de proceder y estarán divididos en:</w:t>
            </w:r>
          </w:p>
          <w:p w:rsidR="00BE0C3D" w:rsidRPr="00595C16" w:rsidRDefault="00BE0C3D" w:rsidP="00164E6A">
            <w:pPr>
              <w:pStyle w:val="Textoindependiente3"/>
              <w:ind w:left="360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669B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Primera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Parte :</w:t>
            </w:r>
          </w:p>
          <w:p w:rsidR="00BE0C3D" w:rsidRPr="00D01FA3" w:rsidRDefault="00BE0C3D" w:rsidP="00164E6A">
            <w:pPr>
              <w:pStyle w:val="Textoindependiente3"/>
              <w:ind w:left="360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ara la ejecución de la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primera parte de la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consultoría es de </w:t>
            </w:r>
            <w:r w:rsidRPr="00407499">
              <w:rPr>
                <w:rFonts w:cs="Arial"/>
                <w:iCs/>
                <w:color w:val="000000"/>
                <w:szCs w:val="18"/>
                <w:lang w:val="es-ES_tradnl" w:eastAsia="es-ES"/>
              </w:rPr>
              <w:t>cincuenta y cinco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55</w:t>
            </w:r>
            <w:r w:rsidRPr="00407499">
              <w:rPr>
                <w:rFonts w:cs="Arial"/>
                <w:iCs/>
                <w:color w:val="000000"/>
                <w:szCs w:val="18"/>
                <w:lang w:val="es-ES_tradnl" w:eastAsia="es-ES"/>
              </w:rPr>
              <w:t>)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días calendario, distribuidos de la siguiente manera:</w:t>
            </w:r>
          </w:p>
          <w:p w:rsidR="00BE0C3D" w:rsidRPr="00D01FA3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1- Desarrollo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Alcance 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 la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C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La consultoría se realizará en el plazo de hasta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veinte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20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 a partir de la fecha señalada en la Orden de Proceder.  La Orden de Proceder se emitirá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una fecha posterior a la firma de contrato.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esta etapa se tiene que realizar todos los trabajos definidos en el inciso A) del punto II Primera Parte  de los términos de referencia. </w:t>
            </w:r>
          </w:p>
          <w:p w:rsidR="00BE0C3D" w:rsidRPr="0017454F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2-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407499">
              <w:rPr>
                <w:rFonts w:cs="Arial"/>
                <w:b/>
                <w:iCs/>
                <w:szCs w:val="18"/>
                <w:lang w:val="es-ES_tradnl" w:eastAsia="es-ES"/>
              </w:rPr>
              <w:t>y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resentación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Informe Preliminar Primera Parte.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quince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(1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) días calendario para la elaboración y presentación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“I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”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, computables a partir del siguiente día hábil de la finalización de la etapa 1.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El informe debe incluir todos los puntos descritos en el 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>punto 1, in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ciso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B) del numeral II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los términos de referencia.</w:t>
            </w:r>
          </w:p>
          <w:p w:rsidR="00BE0C3D" w:rsidRPr="00D01FA3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3 - Verificación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contra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parte verificará el Informe preliminar presentado por 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consultor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un plazo de cinco (5) días calendario computables a partir del siguiente día hábil de finalizada la Etapa 2 y notificara mediante carta expresa u otro medio las observaciones identificadas si existiesen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</w:p>
          <w:p w:rsidR="00BE0C3D" w:rsidRPr="00D01FA3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4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–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de Resultados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cinco (5) días calendario para la elaboración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Resultados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, computables a partir del siguiente día hábil de la finalización de la Etapa 3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, tomando en cuenta las observaciones realizada en la etapa 3.</w:t>
            </w:r>
          </w:p>
          <w:p w:rsidR="00BE0C3D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Cs/>
                <w:color w:val="000000"/>
                <w:szCs w:val="18"/>
                <w:lang w:val="es-ES_tradnl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5 - Presentación,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ntrega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 de Resultados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tiene diez (10) días calendario para la presentación, entrega del Informe final de resultados, computables a  partir del siguiente día hábil de la finalización de la Etapa 4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El informe debe incluir todos los puntos descritos en el 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>punto 2, in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ciso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B) del numeral II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los términos de referencia.</w:t>
            </w:r>
          </w:p>
          <w:p w:rsidR="00BE0C3D" w:rsidRPr="001669B3" w:rsidRDefault="00BE0C3D" w:rsidP="00164E6A">
            <w:pPr>
              <w:pStyle w:val="Textoindependiente3"/>
              <w:rPr>
                <w:rFonts w:cs="Arial"/>
                <w:b/>
                <w:iCs/>
                <w:color w:val="000000"/>
                <w:szCs w:val="18"/>
                <w:lang w:val="es-ES_tradnl"/>
              </w:rPr>
            </w:pPr>
            <w:r>
              <w:rPr>
                <w:rFonts w:cs="Arial"/>
                <w:iCs/>
                <w:color w:val="000000"/>
                <w:szCs w:val="18"/>
                <w:lang w:val="es-ES_tradnl"/>
              </w:rPr>
              <w:t xml:space="preserve">      </w:t>
            </w:r>
            <w:r w:rsidRPr="001669B3"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 xml:space="preserve">Segunda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>Parte</w:t>
            </w:r>
            <w:r w:rsidRPr="001669B3"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>:</w:t>
            </w:r>
          </w:p>
          <w:p w:rsidR="00BE0C3D" w:rsidRPr="00D01FA3" w:rsidRDefault="00BE0C3D" w:rsidP="00164E6A">
            <w:pPr>
              <w:pStyle w:val="Textoindependiente3"/>
              <w:ind w:left="360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ara la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ejecución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la segunda parte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la consultoría es de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cuarenta y cinco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(4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 distribuidos de la siguiente manera:</w:t>
            </w:r>
          </w:p>
          <w:p w:rsidR="00BE0C3D" w:rsidRPr="005A57FD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6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- Desarrollo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Alcance 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 la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C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consultoría se realizará en el plazo de hasta quince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15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computables a partir del siguiente día hábil de la fecha de emisión del Informe  de Conformidad Primera Parte.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esta etapa se tiene que realizar todos los trabajos definidos en el inciso A) del punto II  de los términos de referencia.</w:t>
            </w:r>
          </w:p>
          <w:p w:rsidR="00BE0C3D" w:rsidRPr="0017454F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7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- Presentación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reliminar de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diez (10) días calendario para la elaboración y presentación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“I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”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, computables a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6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El informe debe incluir todos los puntos descritos en el inciso B) del punto II de los términos de referencia.</w:t>
            </w:r>
          </w:p>
          <w:p w:rsidR="00BE0C3D" w:rsidRPr="00D01FA3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8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- Verificación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contra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parte verificará el Informe preliminar presentado por el proponente adjudicado en un plazo de cinco (5) días calendario computables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lastRenderedPageBreak/>
              <w:t xml:space="preserve">a partir del siguiente día hábil de finalizada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7 y notificara mediante carta expresa u otro medio las recomendaciones identificadas.</w:t>
            </w:r>
          </w:p>
          <w:p w:rsidR="00BE0C3D" w:rsidRPr="00D01FA3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9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–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F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inal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de Resultados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cinco (5) días calendario para la elaboración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Resultados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, computables a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8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</w:p>
          <w:p w:rsidR="00BE0C3D" w:rsidRPr="005A57E7" w:rsidRDefault="00BE0C3D" w:rsidP="00BE0C3D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b/>
                <w:lang w:val="es-BO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10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- Presentación,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ntrega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 de Resultados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tiene diez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10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) días calendario para la presentación, entrega del Informe final de resultados, computables a 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9. El informe debe incluir todos los puntos descritos en el inciso B) del punto II de los términos de referencia.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D83E09" w:rsidRDefault="00BE0C3D" w:rsidP="00164E6A">
            <w:pPr>
              <w:pStyle w:val="Textoindependiente3"/>
              <w:rPr>
                <w:rFonts w:cs="Arial"/>
                <w:bCs/>
                <w:szCs w:val="18"/>
                <w:lang w:val="es-BO"/>
              </w:rPr>
            </w:pPr>
            <w:r w:rsidRPr="00D83E09">
              <w:rPr>
                <w:rFonts w:cs="Arial"/>
                <w:bCs/>
                <w:szCs w:val="18"/>
                <w:lang w:val="es-BO"/>
              </w:rPr>
              <w:t xml:space="preserve">El </w:t>
            </w:r>
            <w:r w:rsidRPr="00D83E09">
              <w:rPr>
                <w:rFonts w:cs="Arial"/>
                <w:b/>
                <w:bCs/>
                <w:szCs w:val="18"/>
                <w:lang w:val="es-BO"/>
              </w:rPr>
              <w:t>CONSULTOR</w:t>
            </w:r>
            <w:r w:rsidRPr="00D83E09">
              <w:rPr>
                <w:rFonts w:cs="Arial"/>
                <w:bCs/>
                <w:szCs w:val="18"/>
                <w:lang w:val="es-BO"/>
              </w:rPr>
              <w:t xml:space="preserve"> realizará la </w:t>
            </w:r>
            <w:r w:rsidRPr="00D83E09">
              <w:rPr>
                <w:rFonts w:cs="Arial"/>
                <w:b/>
                <w:bCs/>
                <w:szCs w:val="18"/>
                <w:lang w:val="es-BO"/>
              </w:rPr>
              <w:t>CONSULTORÍA</w:t>
            </w:r>
            <w:r w:rsidRPr="00D83E09">
              <w:rPr>
                <w:rFonts w:cs="Arial"/>
                <w:bCs/>
                <w:szCs w:val="18"/>
                <w:lang w:val="es-BO"/>
              </w:rPr>
              <w:t>, conforme el siguiente detalle:</w:t>
            </w:r>
          </w:p>
          <w:p w:rsidR="00BE0C3D" w:rsidRPr="00760496" w:rsidRDefault="00BE0C3D" w:rsidP="00164E6A">
            <w:pPr>
              <w:pStyle w:val="Textoindependiente3"/>
              <w:rPr>
                <w:rFonts w:cs="Arial"/>
                <w:b/>
                <w:bCs/>
                <w:szCs w:val="18"/>
                <w:lang w:val="es-BO"/>
              </w:rPr>
            </w:pPr>
            <w:r w:rsidRPr="00760496">
              <w:rPr>
                <w:rFonts w:cs="Arial"/>
                <w:b/>
                <w:bCs/>
                <w:szCs w:val="18"/>
                <w:lang w:val="es-BO"/>
              </w:rPr>
              <w:t>Primera Parte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1.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Desarrollo del Alcance de la consultoría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 xml:space="preserve">podrá realizarlo de manera remota mediante una VPN o Internet o presencial (Según corresponda de acuerdo a lo  coordinado con  la </w:t>
            </w:r>
            <w:r w:rsidRPr="00BA6A14">
              <w:rPr>
                <w:rFonts w:cs="Arial"/>
                <w:b/>
                <w:bCs/>
                <w:szCs w:val="18"/>
              </w:rPr>
              <w:t>CONTRAPARTE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2.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Elaboración y</w:t>
            </w:r>
            <w:r w:rsidRPr="00BA6A14">
              <w:rPr>
                <w:rFonts w:cs="Arial"/>
                <w:bCs/>
                <w:szCs w:val="18"/>
              </w:rPr>
              <w:t xml:space="preserve">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Informe preliminar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</w:t>
            </w:r>
            <w:r>
              <w:rPr>
                <w:rFonts w:cs="Arial"/>
                <w:bCs/>
                <w:szCs w:val="18"/>
              </w:rPr>
              <w:t xml:space="preserve"> la elaboración del informe preliminar en sus instalaciones, la presentación es de manera presencial </w:t>
            </w:r>
            <w:r w:rsidRPr="00BA6A14">
              <w:rPr>
                <w:rFonts w:cs="Arial"/>
                <w:bCs/>
                <w:szCs w:val="18"/>
              </w:rPr>
              <w:t xml:space="preserve">(en instalaciones de la </w:t>
            </w:r>
            <w:r w:rsidRPr="00BA6A14">
              <w:rPr>
                <w:rFonts w:cs="Arial"/>
                <w:b/>
                <w:bCs/>
                <w:szCs w:val="18"/>
              </w:rPr>
              <w:t>ENTIDAD</w:t>
            </w:r>
            <w:r w:rsidRPr="00BA6A14">
              <w:rPr>
                <w:rFonts w:cs="Arial"/>
                <w:bCs/>
                <w:szCs w:val="18"/>
              </w:rPr>
              <w:t xml:space="preserve">). 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4. </w:t>
            </w:r>
            <w:r w:rsidRPr="00BA6A14">
              <w:rPr>
                <w:rFonts w:cs="Arial"/>
                <w:b/>
                <w:bCs/>
                <w:szCs w:val="18"/>
              </w:rPr>
              <w:t>Elaboración del Informe Final de Resultados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realizarlo en sus instalaciones</w:t>
            </w:r>
            <w:r w:rsidRPr="00BA6A14">
              <w:rPr>
                <w:rFonts w:cs="Arial"/>
                <w:bCs/>
                <w:szCs w:val="18"/>
                <w:lang w:val="es-BO"/>
              </w:rPr>
              <w:t>.</w:t>
            </w:r>
          </w:p>
          <w:p w:rsidR="00BE0C3D" w:rsidRPr="00D83E09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  <w:lang w:val="es-BO"/>
              </w:rPr>
              <w:t xml:space="preserve">Para la Etapa 5.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y entrega del Informe Final de Resultados</w:t>
            </w:r>
            <w:r>
              <w:rPr>
                <w:rFonts w:cs="Arial"/>
                <w:b/>
                <w:iCs/>
                <w:szCs w:val="18"/>
                <w:lang w:val="es-ES_tradnl" w:eastAsia="es-ES"/>
              </w:rPr>
              <w:t xml:space="preserve"> (Primera Parte)</w:t>
            </w:r>
            <w:r w:rsidRPr="00BA6A14">
              <w:rPr>
                <w:rFonts w:cs="Arial"/>
                <w:bCs/>
                <w:szCs w:val="18"/>
                <w:lang w:val="es-BO"/>
              </w:rPr>
              <w:t>, el CONSULTOR tiene que realizarlo de manera presencial en el edificio principal del Banco Central de Bolivia.</w:t>
            </w:r>
          </w:p>
          <w:p w:rsidR="00BE0C3D" w:rsidRPr="00760496" w:rsidRDefault="00BE0C3D" w:rsidP="00164E6A">
            <w:pPr>
              <w:pStyle w:val="Textoindependiente3"/>
              <w:rPr>
                <w:rFonts w:cs="Arial"/>
                <w:b/>
                <w:bCs/>
                <w:szCs w:val="18"/>
                <w:lang w:val="es-BO"/>
              </w:rPr>
            </w:pPr>
            <w:r w:rsidRPr="00760496">
              <w:rPr>
                <w:rFonts w:cs="Arial"/>
                <w:b/>
                <w:bCs/>
                <w:szCs w:val="18"/>
                <w:lang w:val="es-BO"/>
              </w:rPr>
              <w:t>Segunda Parte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6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Desarrollo del Alcance de la consultoría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 xml:space="preserve">podrá realizarlo de manera remota mediante una VPN o Internet o presencial (Según corresponda de acuerdo a lo  coordinado con  la </w:t>
            </w:r>
            <w:r w:rsidRPr="00BA6A14">
              <w:rPr>
                <w:rFonts w:cs="Arial"/>
                <w:b/>
                <w:bCs/>
                <w:szCs w:val="18"/>
              </w:rPr>
              <w:t>CONTRAPARTE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7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Elaboración y</w:t>
            </w:r>
            <w:r w:rsidRPr="00BA6A14">
              <w:rPr>
                <w:rFonts w:cs="Arial"/>
                <w:bCs/>
                <w:szCs w:val="18"/>
              </w:rPr>
              <w:t xml:space="preserve">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Informe preliminar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</w:t>
            </w:r>
            <w:r>
              <w:rPr>
                <w:rFonts w:cs="Arial"/>
                <w:bCs/>
                <w:szCs w:val="18"/>
              </w:rPr>
              <w:t xml:space="preserve"> la elaboración del informe preliminar en sus instalaciones, la presentación es de manera presencial </w:t>
            </w:r>
            <w:r w:rsidRPr="00BA6A14">
              <w:rPr>
                <w:rFonts w:cs="Arial"/>
                <w:bCs/>
                <w:szCs w:val="18"/>
              </w:rPr>
              <w:t xml:space="preserve">(en instalaciones de la </w:t>
            </w:r>
            <w:r w:rsidRPr="00BA6A14">
              <w:rPr>
                <w:rFonts w:cs="Arial"/>
                <w:b/>
                <w:bCs/>
                <w:szCs w:val="18"/>
              </w:rPr>
              <w:t>ENTIDAD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BE0C3D" w:rsidRPr="00BA6A14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9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bCs/>
                <w:szCs w:val="18"/>
              </w:rPr>
              <w:t>Elaboración del Informe Final de Resultados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realizarlo en sus instalaciones</w:t>
            </w:r>
            <w:r w:rsidRPr="00BA6A14">
              <w:rPr>
                <w:rFonts w:cs="Arial"/>
                <w:bCs/>
                <w:szCs w:val="18"/>
                <w:lang w:val="es-BO"/>
              </w:rPr>
              <w:t>.</w:t>
            </w:r>
          </w:p>
          <w:p w:rsidR="00BE0C3D" w:rsidRPr="005A57E7" w:rsidRDefault="00BE0C3D" w:rsidP="00BE0C3D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b/>
                <w:lang w:val="es-BO"/>
              </w:rPr>
            </w:pPr>
            <w:r w:rsidRPr="008733BC">
              <w:rPr>
                <w:rFonts w:cs="Arial"/>
                <w:bCs/>
                <w:szCs w:val="18"/>
                <w:lang w:val="es-BO"/>
              </w:rPr>
              <w:t xml:space="preserve">Para la Etapa 10. </w:t>
            </w:r>
            <w:r w:rsidRPr="008733BC">
              <w:rPr>
                <w:rFonts w:cs="Arial"/>
                <w:b/>
                <w:iCs/>
                <w:szCs w:val="18"/>
                <w:lang w:val="es-ES_tradnl" w:eastAsia="es-ES"/>
              </w:rPr>
              <w:t>Presentación y entrega del Informe Final de Resultados (Segunda Parte)</w:t>
            </w:r>
            <w:r w:rsidRPr="008733BC">
              <w:rPr>
                <w:rFonts w:cs="Arial"/>
                <w:bCs/>
                <w:szCs w:val="18"/>
                <w:lang w:val="es-BO"/>
              </w:rPr>
              <w:t>, el CONSULTOR tiene que realizarlo de manera presencial en el edificio principal del Banco Central de Bolivia.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Garantía de Cumplimiento </w:t>
            </w:r>
          </w:p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de Contrato</w:t>
            </w:r>
          </w:p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>El proponente adjudicado debe presentar la Garantía de cumplimiento de contrato por el siete por ciento (7%) del monto total del contrato, de acuerdo con el Articulo 21 del  D.S. N° 181.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trHeight w:val="127"/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E0C3D" w:rsidRPr="008F554D" w:rsidTr="00164E6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</w:rPr>
              <w:t>Nombre del Organismo Financiador</w:t>
            </w:r>
          </w:p>
          <w:p w:rsidR="00BE0C3D" w:rsidRPr="008F554D" w:rsidRDefault="00BE0C3D" w:rsidP="00164E6A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vMerge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  <w:gridSpan w:val="20"/>
            <w:vMerge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sz w:val="12"/>
              </w:rPr>
            </w:pPr>
            <w:r w:rsidRPr="008F554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0C3D" w:rsidRPr="008F554D" w:rsidTr="00164E6A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E0C3D" w:rsidRPr="00A10E16" w:rsidRDefault="00BE0C3D" w:rsidP="00BE0C3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BE0C3D" w:rsidRPr="008F554D" w:rsidRDefault="00BE0C3D" w:rsidP="00164E6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962B23" w:rsidRDefault="00BE0C3D" w:rsidP="00164E6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962B23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3</w:t>
            </w:r>
            <w:r w:rsidRPr="00962B23">
              <w:rPr>
                <w:rFonts w:ascii="Arial" w:hAnsi="Arial" w:cs="Arial"/>
              </w:rPr>
              <w:t>0 a 16:</w:t>
            </w:r>
            <w:r>
              <w:rPr>
                <w:rFonts w:ascii="Arial" w:hAnsi="Arial" w:cs="Arial"/>
              </w:rPr>
              <w:t>3</w:t>
            </w:r>
            <w:r w:rsidRPr="00962B23"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62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7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9" w:type="dxa"/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0" w:type="dxa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0" w:type="dxa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Administrativas: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Tecnicas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715ED4" w:rsidRDefault="00BE0C3D" w:rsidP="00164E6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Miguel Ángel Pacheco Cardozo</w:t>
            </w:r>
          </w:p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Administrador de Seguridad Informatica Senior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FC2F68" w:rsidRDefault="00BE0C3D" w:rsidP="00164E6A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BE0C3D" w:rsidRPr="0006032F" w:rsidRDefault="00BE0C3D" w:rsidP="00164E6A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14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1120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Pr="009A4A9F" w:rsidRDefault="00BE0C3D" w:rsidP="00164E6A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Pr="00B24AF5">
                <w:rPr>
                  <w:rStyle w:val="Hipervnculo"/>
                  <w:rFonts w:ascii="Arial" w:hAnsi="Arial" w:cs="Arial"/>
                  <w:sz w:val="14"/>
                </w:rPr>
                <w:t>gmantilla@bcb.gob.bo</w:t>
              </w:r>
            </w:hyperlink>
          </w:p>
          <w:p w:rsidR="00BE0C3D" w:rsidRPr="009B1CD1" w:rsidRDefault="00BE0C3D" w:rsidP="00164E6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/>
              </w:rPr>
              <w:t xml:space="preserve"> (Consultas Administrativas)</w:t>
            </w:r>
          </w:p>
          <w:p w:rsidR="00BE0C3D" w:rsidRPr="008F554D" w:rsidRDefault="00BE0C3D" w:rsidP="00164E6A">
            <w:pPr>
              <w:rPr>
                <w:rFonts w:ascii="Arial" w:hAnsi="Arial" w:cs="Arial"/>
              </w:rPr>
            </w:pPr>
            <w:hyperlink r:id="rId8" w:history="1">
              <w:r w:rsidRPr="00F63E43">
                <w:rPr>
                  <w:rStyle w:val="Hipervnculo"/>
                  <w:rFonts w:ascii="Arial" w:hAnsi="Arial" w:cs="Arial"/>
                  <w:sz w:val="14"/>
                </w:rPr>
                <w:t>mpacheco@bcb.gob.bo</w:t>
              </w:r>
            </w:hyperlink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E0C3D" w:rsidRPr="008F554D" w:rsidTr="00164E6A">
        <w:trPr>
          <w:trHeight w:val="275"/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CD31EB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</w:rPr>
              <w:lastRenderedPageBreak/>
              <w:t>Cuenta Corriente Fiscal</w:t>
            </w:r>
            <w:r>
              <w:rPr>
                <w:rFonts w:ascii="Arial" w:hAnsi="Arial" w:cs="Arial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62" w:type="dxa"/>
            <w:tcBorders>
              <w:right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49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:rsidR="00BE0C3D" w:rsidRDefault="00BE0C3D" w:rsidP="00164E6A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BE0C3D" w:rsidRDefault="00BE0C3D" w:rsidP="00164E6A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BE0C3D" w:rsidRPr="00295F18" w:rsidRDefault="00BE0C3D" w:rsidP="00164E6A">
            <w:pPr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E0C3D" w:rsidRPr="008F554D" w:rsidTr="00164E6A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:rsidR="00BE0C3D" w:rsidRPr="008F554D" w:rsidRDefault="00BE0C3D" w:rsidP="00164E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E0C3D" w:rsidRPr="008F554D" w:rsidRDefault="00BE0C3D" w:rsidP="00164E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E0C3D" w:rsidRPr="008F554D" w:rsidRDefault="00BE0C3D" w:rsidP="00BE0C3D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BE0C3D" w:rsidRPr="008F554D" w:rsidTr="00164E6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E0C3D" w:rsidRPr="008F554D" w:rsidRDefault="00BE0C3D" w:rsidP="00164E6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BE0C3D" w:rsidRPr="008F554D" w:rsidTr="00164E6A">
        <w:trPr>
          <w:trHeight w:val="2645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E0C3D" w:rsidRPr="00830DF3" w:rsidRDefault="00BE0C3D" w:rsidP="00164E6A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830DF3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BE0C3D" w:rsidRPr="00830DF3" w:rsidRDefault="00BE0C3D" w:rsidP="00164E6A">
            <w:pPr>
              <w:ind w:left="510" w:right="113"/>
              <w:jc w:val="both"/>
              <w:rPr>
                <w:rFonts w:ascii="Arial" w:hAnsi="Arial" w:cs="Arial"/>
                <w:lang w:val="es-BO"/>
              </w:rPr>
            </w:pPr>
          </w:p>
          <w:p w:rsidR="00BE0C3D" w:rsidRPr="00830DF3" w:rsidRDefault="00BE0C3D" w:rsidP="00BE0C3D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Presentación de propuestas:</w:t>
            </w:r>
          </w:p>
          <w:p w:rsidR="00BE0C3D" w:rsidRPr="00830DF3" w:rsidRDefault="00BE0C3D" w:rsidP="00BE0C3D">
            <w:pPr>
              <w:pStyle w:val="Prrafodelista"/>
              <w:numPr>
                <w:ilvl w:val="0"/>
                <w:numId w:val="11"/>
              </w:numPr>
              <w:ind w:left="510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BE0C3D" w:rsidRPr="00830DF3" w:rsidRDefault="00BE0C3D" w:rsidP="00BE0C3D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BE0C3D" w:rsidRPr="00830DF3" w:rsidRDefault="00BE0C3D" w:rsidP="00BE0C3D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BE0C3D" w:rsidRPr="00830DF3" w:rsidRDefault="00BE0C3D" w:rsidP="00164E6A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E0C3D" w:rsidRPr="008F554D" w:rsidRDefault="00BE0C3D" w:rsidP="00164E6A">
            <w:pPr>
              <w:ind w:right="113"/>
              <w:jc w:val="both"/>
              <w:rPr>
                <w:lang w:val="es-BO"/>
              </w:rPr>
            </w:pPr>
            <w:r w:rsidRPr="00830DF3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BE0C3D" w:rsidRPr="008F554D" w:rsidTr="00164E6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E0C3D" w:rsidRPr="008F554D" w:rsidRDefault="00BE0C3D" w:rsidP="00164E6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E0C3D" w:rsidRPr="00D16F1C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175632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BE0C3D" w:rsidRPr="008F554D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A3065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Default="00BE0C3D" w:rsidP="00164E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E0C3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Default="00BE0C3D" w:rsidP="00164E6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BE0C3D" w:rsidRDefault="00BE0C3D" w:rsidP="00164E6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BE0C3D" w:rsidRPr="00A677C9" w:rsidRDefault="00BE0C3D" w:rsidP="00164E6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BE0C3D" w:rsidRDefault="00BE0C3D" w:rsidP="00164E6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BE0C3D" w:rsidRPr="00A677C9" w:rsidRDefault="00BE0C3D" w:rsidP="00164E6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BE0C3D" w:rsidRPr="009A417A" w:rsidRDefault="00BE0C3D" w:rsidP="00164E6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BE0C3D" w:rsidRPr="006A3065" w:rsidRDefault="00BE0C3D" w:rsidP="00164E6A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</w:p>
          <w:p w:rsidR="00BE0C3D" w:rsidRPr="005E437D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  <w:r w:rsidRPr="005E437D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https://bcb-gob-bo.zoom.us/j/84730104993?pwd=xAa0LaBYCKe2ntMwGbbWwCPbFGmQtt.1</w:t>
            </w:r>
          </w:p>
          <w:p w:rsidR="00BE0C3D" w:rsidRPr="005E437D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</w:p>
          <w:p w:rsidR="00BE0C3D" w:rsidRPr="005E437D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  <w:r w:rsidRPr="005E437D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ID de reunión: 847 3010 4993</w:t>
            </w:r>
          </w:p>
          <w:p w:rsidR="00BE0C3D" w:rsidRPr="008F554D" w:rsidRDefault="00BE0C3D" w:rsidP="00164E6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5E437D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Código de acceso: 786332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BE0C3D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0C3D" w:rsidRPr="008F554D" w:rsidTr="00164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0C3D" w:rsidRPr="008F554D" w:rsidRDefault="00BE0C3D" w:rsidP="00164E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E0C3D" w:rsidRPr="008F554D" w:rsidRDefault="00BE0C3D" w:rsidP="00164E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E0C3D" w:rsidRDefault="00BE0C3D" w:rsidP="00BE0C3D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BE0C3D" w:rsidRDefault="00BE0C3D" w:rsidP="00BE0C3D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5B5F41" w:rsidRDefault="005B5F41" w:rsidP="00BE0C3D">
      <w:pPr>
        <w:pStyle w:val="Puesto"/>
        <w:spacing w:before="0" w:after="0"/>
        <w:ind w:left="432"/>
        <w:jc w:val="both"/>
        <w:rPr>
          <w:lang w:val="es-BO"/>
        </w:rPr>
      </w:pPr>
      <w:bookmarkStart w:id="2" w:name="_GoBack"/>
      <w:bookmarkEnd w:id="2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1911C2"/>
    <w:multiLevelType w:val="hybridMultilevel"/>
    <w:tmpl w:val="2578D9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8310A"/>
    <w:multiLevelType w:val="hybridMultilevel"/>
    <w:tmpl w:val="39E44862"/>
    <w:lvl w:ilvl="0" w:tplc="4BF0B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D3E3A71"/>
    <w:multiLevelType w:val="hybridMultilevel"/>
    <w:tmpl w:val="2976F620"/>
    <w:lvl w:ilvl="0" w:tplc="B3740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5"/>
  </w:num>
  <w:num w:numId="5">
    <w:abstractNumId w:val="14"/>
  </w:num>
  <w:num w:numId="6">
    <w:abstractNumId w:val="18"/>
  </w:num>
  <w:num w:numId="7">
    <w:abstractNumId w:val="0"/>
  </w:num>
  <w:num w:numId="8">
    <w:abstractNumId w:val="22"/>
  </w:num>
  <w:num w:numId="9">
    <w:abstractNumId w:val="21"/>
  </w:num>
  <w:num w:numId="10">
    <w:abstractNumId w:val="25"/>
  </w:num>
  <w:num w:numId="11">
    <w:abstractNumId w:val="13"/>
  </w:num>
  <w:num w:numId="12">
    <w:abstractNumId w:val="19"/>
  </w:num>
  <w:num w:numId="13">
    <w:abstractNumId w:val="17"/>
  </w:num>
  <w:num w:numId="14">
    <w:abstractNumId w:val="26"/>
  </w:num>
  <w:num w:numId="1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90691"/>
    <w:rsid w:val="001D4F0C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E0C3D"/>
    <w:rsid w:val="00BF6D80"/>
    <w:rsid w:val="00C02AAB"/>
    <w:rsid w:val="00C445DD"/>
    <w:rsid w:val="00C62243"/>
    <w:rsid w:val="00C92940"/>
    <w:rsid w:val="00C94EE3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character" w:customStyle="1" w:styleId="mgl-sm">
    <w:name w:val="mgl-sm"/>
    <w:basedOn w:val="Fuentedeprrafopredeter"/>
    <w:rsid w:val="001D4F0C"/>
  </w:style>
  <w:style w:type="character" w:customStyle="1" w:styleId="hgkelc">
    <w:name w:val="hgkelc"/>
    <w:rsid w:val="001D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12472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2024-07-25T23:54:00Z</dcterms:created>
  <dcterms:modified xsi:type="dcterms:W3CDTF">2024-07-25T23:54:00Z</dcterms:modified>
</cp:coreProperties>
</file>