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666F56">
        <w:trPr>
          <w:trHeight w:val="1242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231536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66F5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DF7E5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578E7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="00DF7E58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66F56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tbl>
      <w:tblPr>
        <w:tblStyle w:val="Tablaconcuadrcula58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666F56" w:rsidRPr="00666F56" w:rsidTr="00666F56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66F56" w:rsidRPr="00666F56" w:rsidRDefault="00666F56" w:rsidP="00666F5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66F56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66F56" w:rsidRPr="00666F56" w:rsidTr="00666F56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56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2"/>
        </w:trPr>
        <w:tc>
          <w:tcPr>
            <w:tcW w:w="1951" w:type="dxa"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ANPE – P Nº 075/2023-2C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270"/>
        </w:trPr>
        <w:tc>
          <w:tcPr>
            <w:tcW w:w="1951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392061" w:rsidP="0039206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392061" w:rsidP="00666F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66F56" w:rsidRPr="00666F56" w:rsidTr="00666F56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437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OBRA DE REEMPLAZO DE BAJANTES SANITARIAS Y PLUVIALES EN 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197"/>
        </w:trPr>
        <w:tc>
          <w:tcPr>
            <w:tcW w:w="195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666F5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66F56" w:rsidRPr="00666F56" w:rsidTr="00666F56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666F56" w:rsidRPr="00666F56" w:rsidTr="00666F56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b/>
                <w:i/>
                <w:lang w:val="es-BO"/>
              </w:rPr>
              <w:t>Bs590.158.30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  <w:gridSpan w:val="3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7" w:type="dxa"/>
            <w:gridSpan w:val="4"/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6F56" w:rsidRPr="00666F56" w:rsidTr="00666F56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both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La obra deberá ser ejecutada en un plazo máximo de sesenta (60) días calendario, computable desde la fecha establecida en la Orden de Proceder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197"/>
        </w:trPr>
        <w:tc>
          <w:tcPr>
            <w:tcW w:w="195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666F56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56" w:rsidRPr="00666F56" w:rsidTr="00666F56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66F56">
              <w:rPr>
                <w:rFonts w:ascii="Arial" w:hAnsi="Arial" w:cs="Arial"/>
                <w:sz w:val="15"/>
                <w:szCs w:val="15"/>
                <w:lang w:val="es-BO"/>
              </w:rPr>
              <w:t>Garantía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666F56">
              <w:rPr>
                <w:rFonts w:ascii="Arial" w:hAnsi="Arial" w:cs="Arial"/>
                <w:i/>
                <w:lang w:val="es-BO"/>
              </w:rPr>
              <w:t>El proponente adjudicado deberá constituir la garantía del cumplimiento de contrato del 7% del monto del contrato.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both"/>
              <w:rPr>
                <w:rFonts w:ascii="Arial" w:hAnsi="Arial" w:cs="Arial"/>
                <w:i/>
                <w:sz w:val="15"/>
                <w:szCs w:val="15"/>
                <w:lang w:val="es-BO"/>
              </w:rPr>
            </w:pPr>
            <w:r w:rsidRPr="00666F56">
              <w:rPr>
                <w:rFonts w:ascii="Arial" w:hAnsi="Arial" w:cs="Arial"/>
                <w:i/>
                <w:sz w:val="15"/>
                <w:szCs w:val="15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563"/>
        </w:trPr>
        <w:tc>
          <w:tcPr>
            <w:tcW w:w="1955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666F56" w:rsidRPr="00666F56" w:rsidTr="00666F56">
        <w:tc>
          <w:tcPr>
            <w:tcW w:w="197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666F56">
              <w:rPr>
                <w:rFonts w:ascii="Arial" w:eastAsia="Calibri" w:hAnsi="Arial" w:cs="Arial"/>
                <w:lang w:val="es-BO" w:eastAsia="es-BO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b/>
                <w:lang w:val="es-BO" w:eastAsia="es-BO"/>
              </w:rPr>
            </w:pPr>
            <w:r w:rsidRPr="00666F56">
              <w:rPr>
                <w:rFonts w:ascii="Arial" w:eastAsia="Calibri" w:hAnsi="Arial" w:cs="Arial"/>
                <w:b/>
                <w:lang w:val="es-BO" w:eastAsia="es-BO"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  <w:r w:rsidRPr="00666F56">
              <w:rPr>
                <w:rFonts w:ascii="Arial" w:eastAsia="Calibri" w:hAnsi="Arial" w:cs="Arial"/>
                <w:lang w:val="es-BO" w:eastAsia="es-BO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666F56" w:rsidRPr="00666F56" w:rsidTr="00666F56">
        <w:tc>
          <w:tcPr>
            <w:tcW w:w="197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666F56" w:rsidRPr="00666F56" w:rsidTr="00666F56">
        <w:tc>
          <w:tcPr>
            <w:tcW w:w="197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jc w:val="both"/>
              <w:rPr>
                <w:rFonts w:ascii="Arial" w:eastAsia="Calibri" w:hAnsi="Arial" w:cs="Arial"/>
                <w:lang w:val="es-BO" w:eastAsia="es-BO"/>
              </w:rPr>
            </w:pPr>
            <w:r w:rsidRPr="00666F56">
              <w:rPr>
                <w:rFonts w:ascii="Arial" w:eastAsia="Calibri" w:hAnsi="Arial" w:cs="Arial"/>
                <w:lang w:val="es-BO" w:eastAsia="es-BO"/>
              </w:rPr>
              <w:t xml:space="preserve">Presupuesto de la próxima gestión </w:t>
            </w:r>
            <w:r w:rsidRPr="00666F56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se  iniciará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666F56" w:rsidRPr="00666F56" w:rsidTr="00666F56">
        <w:tc>
          <w:tcPr>
            <w:tcW w:w="197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58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666F56" w:rsidRPr="00666F56" w:rsidTr="00666F56">
        <w:trPr>
          <w:trHeight w:val="66"/>
        </w:trPr>
        <w:tc>
          <w:tcPr>
            <w:tcW w:w="220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66F56" w:rsidRPr="00666F56" w:rsidTr="00666F56">
        <w:trPr>
          <w:trHeight w:val="353"/>
        </w:trPr>
        <w:tc>
          <w:tcPr>
            <w:tcW w:w="2206" w:type="dxa"/>
            <w:vMerge w:val="restart"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87" w:type="dxa"/>
            <w:gridSpan w:val="19"/>
            <w:vMerge w:val="restart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66F56" w:rsidRPr="00666F56" w:rsidRDefault="00666F56" w:rsidP="00666F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vMerge w:val="restart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vMerge w:val="restart"/>
            <w:tcBorders>
              <w:left w:val="nil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108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7" w:type="dxa"/>
            <w:gridSpan w:val="19"/>
            <w:vMerge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vMerge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vMerge/>
            <w:tcBorders>
              <w:left w:val="nil"/>
            </w:tcBorders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353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12"/>
                <w:lang w:val="es-BO"/>
              </w:rPr>
            </w:pPr>
            <w:r w:rsidRPr="00666F5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56"/>
        </w:trPr>
        <w:tc>
          <w:tcPr>
            <w:tcW w:w="2206" w:type="dxa"/>
            <w:vMerge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2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666F56" w:rsidRPr="00666F56" w:rsidRDefault="00666F56" w:rsidP="00666F56">
      <w:pPr>
        <w:rPr>
          <w:sz w:val="2"/>
          <w:szCs w:val="2"/>
        </w:rPr>
      </w:pPr>
    </w:p>
    <w:tbl>
      <w:tblPr>
        <w:tblStyle w:val="Tablaconcuadrcula58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666F56" w:rsidRPr="00666F56" w:rsidTr="00666F56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66F56" w:rsidRPr="00666F56" w:rsidRDefault="00666F56" w:rsidP="00666F56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66F56">
              <w:rPr>
                <w:rFonts w:ascii="Arial" w:hAnsi="Arial" w:cs="Arial"/>
                <w:b/>
                <w:sz w:val="18"/>
                <w:lang w:val="es-BO" w:eastAsia="en-US"/>
              </w:rPr>
              <w:t>INFORMACIÓN DEL DOCUMENTO BASE DE CONTRATACIÓN (DBC</w:t>
            </w:r>
            <w:r w:rsidRPr="00666F56">
              <w:rPr>
                <w:rFonts w:ascii="Arial" w:hAnsi="Arial" w:cs="Arial"/>
                <w:b/>
                <w:lang w:val="es-BO" w:eastAsia="en-US"/>
              </w:rPr>
              <w:t xml:space="preserve">) </w:t>
            </w:r>
          </w:p>
          <w:p w:rsidR="00666F56" w:rsidRPr="00666F56" w:rsidRDefault="00666F56" w:rsidP="00666F56">
            <w:pPr>
              <w:ind w:left="303"/>
              <w:contextualSpacing/>
              <w:jc w:val="both"/>
              <w:rPr>
                <w:rFonts w:ascii="Arial" w:hAnsi="Arial" w:cs="Arial"/>
                <w:lang w:val="es-BO" w:eastAsia="en-US"/>
              </w:rPr>
            </w:pPr>
            <w:r w:rsidRPr="00666F56">
              <w:rPr>
                <w:rFonts w:ascii="Arial" w:hAnsi="Arial" w:cs="Arial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66F56" w:rsidRPr="00666F56" w:rsidTr="00666F56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right w:val="single" w:sz="12" w:space="0" w:color="244061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 w:eastAsia="es-BO"/>
              </w:rPr>
              <w:t>08:00</w:t>
            </w:r>
            <w:r w:rsidRPr="00666F56">
              <w:rPr>
                <w:rFonts w:ascii="Arial" w:hAnsi="Arial" w:cs="Arial"/>
                <w:bCs/>
                <w:lang w:val="es-BO" w:eastAsia="es-BO"/>
              </w:rPr>
              <w:t xml:space="preserve"> a 17:00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666F5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666F5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8" w:type="dxa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666F5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66F56" w:rsidRPr="00666F56" w:rsidTr="00666F56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Marcelo Fernando Chacón Rodriguez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355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 w:eastAsia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Garcia Tenorio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 w:eastAsia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Mantenimiento e Infraestructura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snapToGrid w:val="0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2409090 Internos:</w:t>
            </w:r>
          </w:p>
          <w:p w:rsidR="00666F56" w:rsidRPr="00666F56" w:rsidRDefault="00666F56" w:rsidP="00666F56">
            <w:pPr>
              <w:snapToGrid w:val="0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4719 (Consultas Administrativas)</w:t>
            </w:r>
          </w:p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 w:eastAsia="es-BO"/>
              </w:rPr>
              <w:t>4741 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392061" w:rsidP="00666F56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="00666F56" w:rsidRPr="00666F56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mrchacon@bcb.gob.bo</w:t>
              </w:r>
            </w:hyperlink>
          </w:p>
          <w:p w:rsidR="00666F56" w:rsidRPr="00666F56" w:rsidRDefault="00666F56" w:rsidP="00666F56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666F56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666F56" w:rsidRPr="00666F56" w:rsidRDefault="00666F56" w:rsidP="00666F56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666F56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jtgarcia</w:t>
            </w:r>
            <w:hyperlink r:id="rId8" w:history="1">
              <w:r w:rsidRPr="00666F56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6F56" w:rsidRPr="00666F56" w:rsidTr="00666F56">
        <w:trPr>
          <w:trHeight w:val="794"/>
        </w:trPr>
        <w:tc>
          <w:tcPr>
            <w:tcW w:w="4942" w:type="dxa"/>
            <w:gridSpan w:val="20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666F56">
              <w:rPr>
                <w:rFonts w:ascii="Arial" w:hAnsi="Arial" w:cs="Arial"/>
                <w:sz w:val="15"/>
                <w:szCs w:val="15"/>
                <w:lang w:val="es-BO"/>
              </w:rPr>
              <w:t>Cuenta Corriente Fiscal para Depósito por concepto de Garantía de Seriedad de Propuesta</w:t>
            </w:r>
            <w:r w:rsidRPr="00666F56">
              <w:rPr>
                <w:rFonts w:ascii="Arial" w:hAnsi="Arial" w:cs="Arial"/>
                <w:sz w:val="15"/>
                <w:szCs w:val="15"/>
                <w:lang w:val="es-419"/>
              </w:rPr>
              <w:t xml:space="preserve"> (Fondos en Custodia)</w:t>
            </w:r>
          </w:p>
        </w:tc>
        <w:tc>
          <w:tcPr>
            <w:tcW w:w="45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</w:rPr>
            </w:pPr>
            <w:r w:rsidRPr="00666F56">
              <w:rPr>
                <w:rFonts w:ascii="Arial" w:hAnsi="Arial" w:cs="Arial"/>
              </w:rPr>
              <w:t>Número de Cuenta: 10000041173216</w:t>
            </w:r>
          </w:p>
          <w:p w:rsidR="00666F56" w:rsidRPr="00666F56" w:rsidRDefault="00666F56" w:rsidP="00666F56">
            <w:pPr>
              <w:rPr>
                <w:rFonts w:ascii="Arial" w:hAnsi="Arial" w:cs="Arial"/>
              </w:rPr>
            </w:pPr>
            <w:r w:rsidRPr="00666F56">
              <w:rPr>
                <w:rFonts w:ascii="Arial" w:hAnsi="Arial" w:cs="Arial"/>
              </w:rPr>
              <w:t>Banco: Banco Unión S.A.</w:t>
            </w:r>
          </w:p>
          <w:p w:rsidR="00666F56" w:rsidRPr="00666F56" w:rsidRDefault="00666F56" w:rsidP="00666F56">
            <w:pPr>
              <w:rPr>
                <w:rFonts w:ascii="Arial" w:hAnsi="Arial" w:cs="Arial"/>
              </w:rPr>
            </w:pPr>
            <w:r w:rsidRPr="00666F56">
              <w:rPr>
                <w:rFonts w:ascii="Arial" w:hAnsi="Arial" w:cs="Arial"/>
              </w:rPr>
              <w:t>Titular: Tesoro General de la Nación</w:t>
            </w:r>
          </w:p>
          <w:p w:rsidR="00666F56" w:rsidRPr="00666F56" w:rsidRDefault="00666F56" w:rsidP="00666F56">
            <w:pPr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6F56" w:rsidRPr="00666F56" w:rsidRDefault="00666F56" w:rsidP="00666F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6F56" w:rsidRPr="00666F56" w:rsidTr="00666F56">
        <w:trPr>
          <w:trHeight w:val="42"/>
        </w:trPr>
        <w:tc>
          <w:tcPr>
            <w:tcW w:w="38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56" w:type="dxa"/>
            <w:tcBorders>
              <w:bottom w:val="single" w:sz="12" w:space="0" w:color="244061"/>
            </w:tcBorders>
            <w:vAlign w:val="center"/>
          </w:tcPr>
          <w:p w:rsidR="00666F56" w:rsidRPr="00666F56" w:rsidRDefault="00666F56" w:rsidP="00666F56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0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7" w:type="dxa"/>
            <w:tcBorders>
              <w:bottom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36" w:type="dxa"/>
            <w:tcBorders>
              <w:bottom w:val="single" w:sz="12" w:space="0" w:color="244061"/>
              <w:right w:val="single" w:sz="12" w:space="0" w:color="244061"/>
            </w:tcBorders>
          </w:tcPr>
          <w:p w:rsidR="00666F56" w:rsidRPr="00666F56" w:rsidRDefault="00666F56" w:rsidP="00666F5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66F56" w:rsidRPr="00666F56" w:rsidRDefault="00666F56" w:rsidP="00666F56"/>
    <w:p w:rsidR="00666F56" w:rsidRPr="00666F56" w:rsidRDefault="00666F56" w:rsidP="00666F56"/>
    <w:p w:rsidR="00666F56" w:rsidRPr="00666F56" w:rsidRDefault="00666F56" w:rsidP="00666F56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66F56" w:rsidRPr="00666F56" w:rsidTr="00666F56">
        <w:trPr>
          <w:trHeight w:val="2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66F56" w:rsidRPr="00666F56" w:rsidRDefault="00666F56" w:rsidP="00666F5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66F56">
              <w:rPr>
                <w:lang w:val="es-BO"/>
              </w:rPr>
              <w:br w:type="page"/>
            </w:r>
            <w:r w:rsidRPr="00666F5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666F5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666F56" w:rsidRPr="00666F56" w:rsidTr="00666F56">
        <w:trPr>
          <w:trHeight w:val="2051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66F56" w:rsidRPr="00666F56" w:rsidRDefault="00666F56" w:rsidP="00666F56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666F56" w:rsidRPr="00666F56" w:rsidRDefault="00666F56" w:rsidP="00666F5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66F56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666F56" w:rsidRPr="00666F56" w:rsidRDefault="00666F56" w:rsidP="00666F56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66F56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666F56" w:rsidRPr="00666F56" w:rsidRDefault="00666F56" w:rsidP="00666F56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66F56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66F56" w:rsidRPr="00666F56" w:rsidRDefault="00666F56" w:rsidP="00666F56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666F56" w:rsidRPr="00666F56" w:rsidRDefault="00666F56" w:rsidP="00666F5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666F56">
              <w:rPr>
                <w:rFonts w:ascii="Arial" w:hAnsi="Arial" w:cs="Arial"/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666F56" w:rsidRPr="00666F56" w:rsidRDefault="00666F56" w:rsidP="00666F56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lang w:val="es-BO"/>
              </w:rPr>
            </w:pPr>
            <w:r w:rsidRPr="00666F56">
              <w:rPr>
                <w:rFonts w:ascii="Arial" w:hAnsi="Arial" w:cs="Arial"/>
                <w:lang w:val="es-BO" w:eastAsia="en-US"/>
              </w:rPr>
              <w:t>Plazo para la pre</w:t>
            </w:r>
            <w:bookmarkStart w:id="0" w:name="_GoBack"/>
            <w:bookmarkEnd w:id="0"/>
            <w:r w:rsidRPr="00666F56">
              <w:rPr>
                <w:rFonts w:ascii="Arial" w:hAnsi="Arial" w:cs="Arial"/>
                <w:lang w:val="es-BO" w:eastAsia="en-US"/>
              </w:rPr>
              <w:t>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</w:tc>
      </w:tr>
    </w:tbl>
    <w:p w:rsidR="00666F56" w:rsidRPr="00666F56" w:rsidRDefault="00666F56" w:rsidP="00666F56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666F56" w:rsidRPr="00666F56" w:rsidTr="00666F56">
        <w:trPr>
          <w:trHeight w:val="60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66F56" w:rsidRPr="00666F56" w:rsidRDefault="00666F56" w:rsidP="00666F5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66F5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666F56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 xml:space="preserve">Publicación del DBC en el SICOES </w:t>
            </w:r>
            <w:r w:rsidRPr="00666F56">
              <w:rPr>
                <w:rFonts w:ascii="Arial" w:hAnsi="Arial" w:cs="Arial"/>
                <w:lang w:val="es-BO" w:eastAsia="es-BO"/>
              </w:rPr>
              <w:t xml:space="preserve">y la Convocatoria en la Mesa de Partes </w:t>
            </w:r>
            <w:r w:rsidRPr="00666F56"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66F56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66F56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66F56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666F56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 xml:space="preserve">En el Edificio Principal del Banco Central de Bolivia (piso 7) </w:t>
            </w:r>
            <w:r w:rsidRPr="00666F56">
              <w:rPr>
                <w:rFonts w:ascii="Arial" w:hAnsi="Arial" w:cs="Arial"/>
                <w:sz w:val="13"/>
                <w:szCs w:val="13"/>
              </w:rPr>
              <w:t>– Calle Ayacucho esq. Mercado, La Paz – Bolivia.</w:t>
            </w:r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 xml:space="preserve"> Coordinar con Jaime Garcia Tenorio - Tel. 2664741.</w:t>
            </w: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666F5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 xml:space="preserve">Planta Baja, Ventanilla única de Correspondencia del Edif. Principal del BCB (Nota dirigida al Gerente General del BCB – RPC) </w:t>
            </w:r>
            <w:proofErr w:type="spellStart"/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>ó</w:t>
            </w:r>
            <w:proofErr w:type="spellEnd"/>
          </w:p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666F56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 xml:space="preserve">A los correos electrónicos </w:t>
            </w:r>
            <w:hyperlink r:id="rId9" w:history="1">
              <w:r w:rsidRPr="00666F56">
                <w:rPr>
                  <w:color w:val="0000FF"/>
                  <w:sz w:val="13"/>
                  <w:szCs w:val="13"/>
                  <w:u w:val="single"/>
                </w:rPr>
                <w:t>mrchacon@bcb.gob.bo</w:t>
              </w:r>
            </w:hyperlink>
            <w:r w:rsidRPr="00666F56">
              <w:rPr>
                <w:rFonts w:ascii="Arial" w:hAnsi="Arial" w:cs="Arial"/>
                <w:sz w:val="13"/>
                <w:szCs w:val="13"/>
                <w:lang w:val="es-BO"/>
              </w:rPr>
              <w:t xml:space="preserve">, </w:t>
            </w:r>
            <w:hyperlink r:id="rId10" w:history="1">
              <w:r w:rsidRPr="00666F56">
                <w:rPr>
                  <w:color w:val="0000FF"/>
                  <w:sz w:val="13"/>
                  <w:szCs w:val="13"/>
                  <w:u w:val="single"/>
                </w:rPr>
                <w:t>jtgarcia@bcb.gob.bo</w:t>
              </w:r>
            </w:hyperlink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3"/>
                <w:szCs w:val="13"/>
                <w:highlight w:val="yellow"/>
                <w:u w:val="single"/>
              </w:rPr>
            </w:pPr>
            <w:r w:rsidRPr="00666F56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666F56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https://bcb-gob-bo.zoom.us/j/89897864549?pwd=TXhtaXZVZDdzT2V6NmVwTTNETkF0dz09</w:t>
            </w:r>
          </w:p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F56">
              <w:rPr>
                <w:rFonts w:ascii="Arial" w:hAnsi="Arial" w:cs="Arial"/>
                <w:color w:val="000000"/>
                <w:sz w:val="14"/>
                <w:szCs w:val="14"/>
              </w:rPr>
              <w:t>ID de reunión: 898 9786 4549</w:t>
            </w:r>
          </w:p>
          <w:p w:rsidR="00666F56" w:rsidRPr="00666F56" w:rsidRDefault="00666F56" w:rsidP="00666F5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6F56">
              <w:rPr>
                <w:rFonts w:ascii="Arial" w:hAnsi="Arial" w:cs="Arial"/>
                <w:color w:val="000000"/>
                <w:sz w:val="14"/>
                <w:szCs w:val="14"/>
              </w:rPr>
              <w:t>Código de acceso: 807799</w:t>
            </w: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14</w:t>
            </w: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/>
              <w:bottom w:val="nil"/>
              <w:right w:val="single" w:sz="2" w:space="0" w:color="auto"/>
            </w:tcBorders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14</w:t>
            </w: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66F56" w:rsidRPr="00666F56" w:rsidRDefault="00666F56" w:rsidP="00666F5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00</w:t>
            </w: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666F56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PROPUESTAS:</w:t>
            </w:r>
          </w:p>
          <w:p w:rsidR="00666F56" w:rsidRPr="00666F56" w:rsidRDefault="00666F56" w:rsidP="00666F56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666F56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666F56" w:rsidRPr="00666F56" w:rsidRDefault="00666F56" w:rsidP="00666F56">
            <w:pPr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  <w:p w:rsidR="00666F56" w:rsidRPr="00666F56" w:rsidRDefault="00666F56" w:rsidP="00666F56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666F56">
              <w:rPr>
                <w:rFonts w:ascii="Arial" w:hAnsi="Arial" w:cs="Arial"/>
                <w:sz w:val="13"/>
                <w:szCs w:val="13"/>
                <w:lang w:eastAsia="en-US"/>
              </w:rPr>
              <w:t>En caso de presentación de la Garantía de Seriedad de Propuesta en forma física: Ventanilla Única de Correspondencia, ubicada en Planta Baja del Edificio Principal del BCB, calle Ayacucho esquina Mercado, La Paz – Bolivia, considerar lo señalado en numeral 12.1.5, Parte I del presente DBC.</w:t>
            </w:r>
          </w:p>
          <w:p w:rsidR="00666F56" w:rsidRPr="00666F56" w:rsidRDefault="00666F56" w:rsidP="00666F56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666F56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APERTURA DE PROPUESTAS:</w:t>
            </w:r>
          </w:p>
          <w:p w:rsidR="00666F56" w:rsidRPr="00666F56" w:rsidRDefault="00666F56" w:rsidP="00666F56">
            <w:pPr>
              <w:widowControl w:val="0"/>
              <w:jc w:val="both"/>
              <w:rPr>
                <w:sz w:val="12"/>
              </w:rPr>
            </w:pPr>
            <w:r w:rsidRPr="00666F56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zoom:</w:t>
            </w:r>
            <w:hyperlink r:id="rId11" w:history="1"/>
            <w:r w:rsidRPr="00666F56">
              <w:rPr>
                <w:sz w:val="12"/>
              </w:rPr>
              <w:t xml:space="preserve"> </w:t>
            </w:r>
          </w:p>
          <w:p w:rsidR="00666F56" w:rsidRPr="00666F56" w:rsidRDefault="00666F56" w:rsidP="00666F56">
            <w:pPr>
              <w:widowControl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</w:pPr>
            <w:r w:rsidRPr="00666F56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https://bcb-gob-bo.zoom.us/j/89155440497?pwd=bXVjNnVUcWJwRTgxaVM5Qml3ZlZpUT09</w:t>
            </w:r>
          </w:p>
          <w:p w:rsidR="00666F56" w:rsidRPr="00666F56" w:rsidRDefault="00666F56" w:rsidP="00666F56">
            <w:pPr>
              <w:widowControl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6F56">
              <w:rPr>
                <w:rFonts w:ascii="Arial" w:hAnsi="Arial" w:cs="Arial"/>
                <w:color w:val="000000"/>
                <w:sz w:val="14"/>
                <w:szCs w:val="14"/>
              </w:rPr>
              <w:t>ID de reunión: 891 5544 0497</w:t>
            </w:r>
          </w:p>
          <w:p w:rsidR="00666F56" w:rsidRPr="00666F56" w:rsidRDefault="00666F56" w:rsidP="00666F56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6F56">
              <w:rPr>
                <w:rFonts w:ascii="Arial" w:hAnsi="Arial" w:cs="Arial"/>
                <w:color w:val="000000"/>
                <w:sz w:val="14"/>
                <w:szCs w:val="14"/>
              </w:rPr>
              <w:t>Código de acceso: 202761</w:t>
            </w: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 w:eastAsia="en-US"/>
              </w:rPr>
            </w:pPr>
            <w:r w:rsidRPr="00666F56">
              <w:rPr>
                <w:rFonts w:ascii="Arial" w:hAnsi="Arial" w:cs="Arial"/>
                <w:szCs w:val="14"/>
                <w:lang w:val="es-BO" w:eastAsia="en-US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6F5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66F56" w:rsidRPr="00666F56" w:rsidTr="00666F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66F56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66F56" w:rsidRPr="00666F56" w:rsidTr="00EC16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6F56" w:rsidRPr="00666F56" w:rsidRDefault="00666F56" w:rsidP="00666F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9578E7" w:rsidRDefault="00666F56" w:rsidP="00666F56">
      <w:pPr>
        <w:pStyle w:val="Puesto"/>
        <w:ind w:left="426"/>
        <w:jc w:val="left"/>
        <w:rPr>
          <w:sz w:val="10"/>
        </w:rPr>
      </w:pPr>
      <w:r w:rsidRPr="00666F56">
        <w:rPr>
          <w:rFonts w:ascii="Verdana" w:hAnsi="Verdana" w:cs="Arial"/>
          <w:b w:val="0"/>
          <w:bCs w:val="0"/>
          <w:i/>
          <w:kern w:val="0"/>
          <w:sz w:val="14"/>
          <w:szCs w:val="16"/>
          <w:lang w:val="es-ES" w:eastAsia="es-ES"/>
        </w:rPr>
        <w:t>(*) Los plazos del proceso de contratación se computarán a partir del día siguiente hábil de la publicación en el SICOES.</w:t>
      </w:r>
    </w:p>
    <w:sectPr w:rsidR="009578E7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92061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C0F0F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6F5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DF7E58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table" w:customStyle="1" w:styleId="Tablaconcuadrcula58">
    <w:name w:val="Tabla con cuadrícula58"/>
    <w:basedOn w:val="Tablanormal"/>
    <w:next w:val="Tablaconcuadrcula"/>
    <w:uiPriority w:val="39"/>
    <w:rsid w:val="00666F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tgarci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chac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7755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2023-07-31T12:53:00Z</dcterms:created>
  <dcterms:modified xsi:type="dcterms:W3CDTF">2023-07-31T17:30:00Z</dcterms:modified>
</cp:coreProperties>
</file>