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E8" w:rsidRDefault="009702E8" w:rsidP="009702E8">
      <w:pPr>
        <w:keepNext/>
        <w:tabs>
          <w:tab w:val="num" w:pos="567"/>
        </w:tabs>
        <w:spacing w:after="0" w:line="240" w:lineRule="auto"/>
        <w:ind w:left="567" w:hanging="567"/>
        <w:outlineLvl w:val="0"/>
        <w:rPr>
          <w:rFonts w:ascii="Verdana" w:eastAsia="Times New Roman" w:hAnsi="Verdana" w:cs="Arial"/>
          <w:b/>
          <w:caps/>
          <w:sz w:val="18"/>
          <w:szCs w:val="18"/>
          <w:lang w:eastAsia="es-ES"/>
        </w:rPr>
      </w:pPr>
    </w:p>
    <w:p w:rsidR="009702E8" w:rsidRPr="009702E8" w:rsidRDefault="009702E8" w:rsidP="009702E8">
      <w:pPr>
        <w:keepNext/>
        <w:tabs>
          <w:tab w:val="num" w:pos="567"/>
        </w:tabs>
        <w:spacing w:after="0" w:line="240" w:lineRule="auto"/>
        <w:ind w:left="567" w:hanging="567"/>
        <w:outlineLvl w:val="0"/>
        <w:rPr>
          <w:rFonts w:ascii="Verdana" w:eastAsia="Times New Roman" w:hAnsi="Verdana" w:cs="Arial"/>
          <w:b/>
          <w:caps/>
          <w:sz w:val="18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894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702E8" w:rsidRPr="009702E8" w:rsidTr="009702E8">
        <w:trPr>
          <w:trHeight w:val="1315"/>
          <w:jc w:val="center"/>
        </w:trPr>
        <w:tc>
          <w:tcPr>
            <w:tcW w:w="1472" w:type="dxa"/>
            <w:tcBorders>
              <w:top w:val="single" w:sz="12" w:space="0" w:color="244061"/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contextualSpacing/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661688459" r:id="rId7"/>
              </w:object>
            </w:r>
          </w:p>
        </w:tc>
        <w:tc>
          <w:tcPr>
            <w:tcW w:w="8874" w:type="dxa"/>
            <w:gridSpan w:val="26"/>
            <w:tcBorders>
              <w:top w:val="single" w:sz="12" w:space="0" w:color="244061"/>
              <w:left w:val="single" w:sz="4" w:space="0" w:color="auto"/>
              <w:right w:val="single" w:sz="12" w:space="0" w:color="244061"/>
            </w:tcBorders>
            <w:shd w:val="clear" w:color="auto" w:fill="2E74B5" w:themeFill="accent1" w:themeFillShade="BF"/>
            <w:vAlign w:val="center"/>
          </w:tcPr>
          <w:p w:rsidR="009702E8" w:rsidRPr="00A40DB3" w:rsidRDefault="009702E8" w:rsidP="009702E8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702E8" w:rsidRPr="00AC207A" w:rsidRDefault="009702E8" w:rsidP="009702E8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702E8" w:rsidRPr="00AC207A" w:rsidRDefault="009702E8" w:rsidP="009702E8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9702E8" w:rsidRPr="009702E8" w:rsidRDefault="009702E8" w:rsidP="009702E8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</w:t>
            </w:r>
            <w:r>
              <w:rPr>
                <w:rFonts w:ascii="Arial" w:hAnsi="Arial" w:cs="Arial"/>
                <w:color w:val="FFFFFF"/>
                <w:sz w:val="24"/>
              </w:rPr>
              <w:t>5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9702E8" w:rsidRPr="009702E8" w:rsidTr="009702E8">
        <w:trPr>
          <w:trHeight w:val="403"/>
          <w:jc w:val="center"/>
        </w:trPr>
        <w:tc>
          <w:tcPr>
            <w:tcW w:w="10346" w:type="dxa"/>
            <w:gridSpan w:val="2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702E8" w:rsidRPr="009702E8" w:rsidRDefault="009702E8" w:rsidP="00BE1A0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702E8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9702E8" w:rsidRPr="009702E8" w:rsidTr="009702E8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9702E8" w:rsidRPr="009702E8" w:rsidTr="009702E8">
        <w:trPr>
          <w:trHeight w:val="317"/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b/>
                <w:bCs/>
                <w:iCs/>
                <w:color w:val="000000"/>
                <w:szCs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ANPE – P N° 015/2020-1C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9702E8" w:rsidRPr="009702E8" w:rsidTr="009702E8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2A10D2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24"/>
        <w:gridCol w:w="280"/>
        <w:gridCol w:w="281"/>
        <w:gridCol w:w="271"/>
        <w:gridCol w:w="276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2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trHeight w:val="255"/>
          <w:jc w:val="center"/>
        </w:trPr>
        <w:tc>
          <w:tcPr>
            <w:tcW w:w="233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COMPRA DE TONNERS TIPO 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990" w:type="dxa"/>
            <w:gridSpan w:val="11"/>
            <w:tcBorders>
              <w:lef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5" w:type="dxa"/>
            <w:gridSpan w:val="8"/>
            <w:tcBorders>
              <w:lef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5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73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970"/>
              <w:gridCol w:w="898"/>
              <w:gridCol w:w="2042"/>
              <w:gridCol w:w="1984"/>
            </w:tblGrid>
            <w:tr w:rsidR="009702E8" w:rsidRPr="009702E8" w:rsidTr="000026C2">
              <w:trPr>
                <w:trHeight w:val="11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ind w:left="-110" w:right="-90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ITEM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BIEN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ind w:left="-110" w:right="-90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CANTIDAD REQUERIDA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ind w:left="-110" w:right="-90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PRECIO REFERENCIAL UNITARIO</w:t>
                  </w:r>
                </w:p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ind w:left="-110" w:right="-90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Bs.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PRECIO REFERENCIAL TOTAL Bs.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HP CF360A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23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1.650,00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37.950,00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HP CF361A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12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2.075,00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24.900,00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HP CF362A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12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2.075,00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24.900,00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HP CF363A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12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2.075,00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24.900,00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LEXMARK 74C4SK0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40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1.710,00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68.400,00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LEXMARK 74C4SC0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25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1.800,00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45.000,00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LEXMARK 74C4SM0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25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1.800,00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45.000,00</w:t>
                  </w:r>
                </w:p>
              </w:tc>
            </w:tr>
            <w:tr w:rsidR="009702E8" w:rsidRPr="009702E8" w:rsidTr="000026C2">
              <w:trPr>
                <w:trHeight w:val="209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1970" w:type="dxa"/>
                  <w:shd w:val="clear" w:color="auto" w:fill="auto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TONNER LEXMARK 74C4SY0</w:t>
                  </w:r>
                </w:p>
              </w:tc>
              <w:tc>
                <w:tcPr>
                  <w:tcW w:w="898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25</w:t>
                  </w:r>
                </w:p>
              </w:tc>
              <w:tc>
                <w:tcPr>
                  <w:tcW w:w="2042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1.800,00</w:t>
                  </w:r>
                </w:p>
              </w:tc>
              <w:tc>
                <w:tcPr>
                  <w:tcW w:w="1984" w:type="dxa"/>
                  <w:vAlign w:val="center"/>
                </w:tcPr>
                <w:p w:rsidR="009702E8" w:rsidRPr="009702E8" w:rsidRDefault="009702E8" w:rsidP="009702E8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</w:pPr>
                  <w:r w:rsidRPr="009702E8">
                    <w:rPr>
                      <w:rFonts w:ascii="Arial" w:eastAsia="Times New Roman" w:hAnsi="Arial" w:cs="Arial"/>
                      <w:b/>
                      <w:iCs/>
                      <w:sz w:val="12"/>
                      <w:szCs w:val="16"/>
                      <w:lang w:eastAsia="es-BO"/>
                    </w:rPr>
                    <w:t>45.000,00</w:t>
                  </w:r>
                </w:p>
              </w:tc>
            </w:tr>
          </w:tbl>
          <w:p w:rsidR="009702E8" w:rsidRPr="009702E8" w:rsidRDefault="009702E8" w:rsidP="009702E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trHeight w:val="240"/>
          <w:jc w:val="center"/>
        </w:trPr>
        <w:tc>
          <w:tcPr>
            <w:tcW w:w="233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6036" w:type="dxa"/>
            <w:gridSpan w:val="22"/>
            <w:tcBorders>
              <w:left w:val="single" w:sz="4" w:space="0" w:color="auto"/>
            </w:tcBorders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Compra </w:t>
            </w:r>
            <w:r w:rsidRPr="009702E8">
              <w:rPr>
                <w:rFonts w:ascii="Arial" w:hAnsi="Arial" w:cs="Arial"/>
                <w:b/>
                <w:i/>
                <w:sz w:val="12"/>
                <w:szCs w:val="2"/>
                <w:lang w:eastAsia="es-ES"/>
              </w:rPr>
              <w:t>(únicamente para bienes de entrega no mayor a quince 15 días calendario)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Plazo previsto para la entrega de bienes </w:t>
            </w:r>
            <w:r w:rsidRPr="009702E8">
              <w:rPr>
                <w:rFonts w:ascii="Arial" w:hAnsi="Arial" w:cs="Arial"/>
                <w:b/>
                <w:sz w:val="12"/>
                <w:szCs w:val="14"/>
                <w:lang w:eastAsia="es-ES"/>
              </w:rPr>
              <w:t>(en días calendario)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>Máximo veinte (20) días calendario a partir del día hábil siguiente a la fecha de suscripción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774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3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10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702E8" w:rsidRPr="009702E8" w:rsidTr="009702E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Bienes para la gestión en curso</w:t>
            </w: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 xml:space="preserve">Bienes recurrentes para la próxima gestión </w:t>
            </w:r>
            <w:r w:rsidRPr="009702E8">
              <w:rPr>
                <w:rFonts w:ascii="Arial" w:hAnsi="Arial" w:cs="Arial"/>
                <w:sz w:val="14"/>
                <w:szCs w:val="16"/>
                <w:lang w:eastAsia="es-ES"/>
              </w:rPr>
              <w:t>(</w:t>
            </w:r>
            <w:r w:rsidRPr="009702E8">
              <w:rPr>
                <w:rFonts w:ascii="Arial" w:hAnsi="Arial" w:cs="Arial"/>
                <w:sz w:val="12"/>
                <w:szCs w:val="14"/>
                <w:lang w:eastAsia="es-ES"/>
              </w:rPr>
              <w:t>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Bienes para la próxima gestión </w:t>
            </w:r>
            <w:r w:rsidRPr="009702E8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(</w:t>
            </w:r>
            <w:r w:rsidRPr="009702E8">
              <w:rPr>
                <w:rFonts w:ascii="Arial" w:eastAsia="Times New Roman" w:hAnsi="Arial" w:cs="Arial"/>
                <w:sz w:val="10"/>
                <w:szCs w:val="10"/>
                <w:lang w:eastAsia="es-ES"/>
              </w:rPr>
              <w:t xml:space="preserve">el proceso se  iniciara una vez promulgada la Ley del Presupuesto General del Estado la </w:t>
            </w:r>
            <w:proofErr w:type="spellStart"/>
            <w:r w:rsidRPr="009702E8">
              <w:rPr>
                <w:rFonts w:ascii="Arial" w:eastAsia="Times New Roman" w:hAnsi="Arial" w:cs="Arial"/>
                <w:sz w:val="10"/>
                <w:szCs w:val="10"/>
                <w:lang w:eastAsia="es-ES"/>
              </w:rPr>
              <w:t>siguiepnte</w:t>
            </w:r>
            <w:proofErr w:type="spellEnd"/>
            <w:r w:rsidRPr="009702E8">
              <w:rPr>
                <w:rFonts w:ascii="Arial" w:eastAsia="Times New Roman" w:hAnsi="Arial" w:cs="Arial"/>
                <w:sz w:val="10"/>
                <w:szCs w:val="10"/>
                <w:lang w:eastAsia="es-ES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72"/>
        <w:gridCol w:w="269"/>
        <w:gridCol w:w="270"/>
        <w:gridCol w:w="266"/>
        <w:gridCol w:w="156"/>
        <w:gridCol w:w="117"/>
        <w:gridCol w:w="427"/>
        <w:gridCol w:w="121"/>
        <w:gridCol w:w="354"/>
        <w:gridCol w:w="269"/>
        <w:gridCol w:w="274"/>
        <w:gridCol w:w="264"/>
        <w:gridCol w:w="268"/>
        <w:gridCol w:w="267"/>
        <w:gridCol w:w="271"/>
        <w:gridCol w:w="170"/>
        <w:gridCol w:w="97"/>
        <w:gridCol w:w="187"/>
        <w:gridCol w:w="96"/>
        <w:gridCol w:w="283"/>
        <w:gridCol w:w="188"/>
        <w:gridCol w:w="94"/>
        <w:gridCol w:w="274"/>
        <w:gridCol w:w="262"/>
        <w:gridCol w:w="263"/>
        <w:gridCol w:w="99"/>
        <w:gridCol w:w="164"/>
        <w:gridCol w:w="119"/>
        <w:gridCol w:w="144"/>
        <w:gridCol w:w="139"/>
        <w:gridCol w:w="124"/>
        <w:gridCol w:w="262"/>
        <w:gridCol w:w="201"/>
        <w:gridCol w:w="63"/>
        <w:gridCol w:w="173"/>
        <w:gridCol w:w="28"/>
        <w:gridCol w:w="63"/>
        <w:gridCol w:w="263"/>
        <w:gridCol w:w="263"/>
        <w:gridCol w:w="262"/>
        <w:gridCol w:w="66"/>
        <w:gridCol w:w="196"/>
        <w:gridCol w:w="262"/>
        <w:gridCol w:w="262"/>
        <w:gridCol w:w="262"/>
        <w:gridCol w:w="262"/>
        <w:gridCol w:w="262"/>
      </w:tblGrid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9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475" w:type="dxa"/>
            <w:gridSpan w:val="2"/>
            <w:vMerge w:val="restart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106" w:type="dxa"/>
            <w:gridSpan w:val="28"/>
            <w:vMerge w:val="restart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9702E8" w:rsidRPr="009702E8" w:rsidRDefault="009702E8" w:rsidP="009702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63" w:type="dxa"/>
            <w:vMerge w:val="restart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5" w:type="dxa"/>
            <w:gridSpan w:val="8"/>
            <w:vMerge w:val="restart"/>
            <w:tcBorders>
              <w:left w:val="nil"/>
            </w:tcBorders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trHeight w:val="60"/>
          <w:jc w:val="center"/>
        </w:trPr>
        <w:tc>
          <w:tcPr>
            <w:tcW w:w="240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gridSpan w:val="2"/>
            <w:vMerge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106" w:type="dxa"/>
            <w:gridSpan w:val="28"/>
            <w:vMerge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3" w:type="dxa"/>
            <w:vMerge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5" w:type="dxa"/>
            <w:gridSpan w:val="8"/>
            <w:vMerge/>
            <w:tcBorders>
              <w:left w:val="nil"/>
            </w:tcBorders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1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9702E8" w:rsidRPr="009702E8" w:rsidTr="009702E8">
        <w:trPr>
          <w:trHeight w:val="631"/>
          <w:jc w:val="center"/>
        </w:trPr>
        <w:tc>
          <w:tcPr>
            <w:tcW w:w="10346" w:type="dxa"/>
            <w:gridSpan w:val="48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702E8" w:rsidRPr="009702E8" w:rsidRDefault="009702E8" w:rsidP="00BE1A0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702E8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9702E8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9702E8" w:rsidRPr="009702E8" w:rsidRDefault="009702E8" w:rsidP="009702E8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702E8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9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1861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5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Edificio Principal del Banco Central de Bolivia, calle Ayacucho esquina Mercado. La Paz - Bolivia</w:t>
            </w:r>
          </w:p>
        </w:tc>
        <w:tc>
          <w:tcPr>
            <w:tcW w:w="17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07:30</w:t>
            </w:r>
            <w:r w:rsidRPr="009702E8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a 15:30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9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517" w:type="dxa"/>
            <w:gridSpan w:val="11"/>
            <w:tcBorders>
              <w:bottom w:val="single" w:sz="4" w:space="0" w:color="auto"/>
            </w:tcBorders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9702E8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83" w:type="dxa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333" w:type="dxa"/>
            <w:gridSpan w:val="13"/>
            <w:tcBorders>
              <w:bottom w:val="single" w:sz="4" w:space="0" w:color="auto"/>
            </w:tcBorders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9702E8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36" w:type="dxa"/>
            <w:gridSpan w:val="2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189" w:type="dxa"/>
            <w:gridSpan w:val="11"/>
            <w:tcBorders>
              <w:bottom w:val="single" w:sz="4" w:space="0" w:color="auto"/>
            </w:tcBorders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9702E8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Administrativas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  <w:lang w:val="es-ES" w:eastAsia="es-ES"/>
              </w:rPr>
              <w:t>Bismarck O. Torrico Araujo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  <w:lang w:val="es-ES" w:eastAsia="es-ES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  <w:lang w:val="es-ES" w:eastAsia="es-ES"/>
              </w:rPr>
              <w:t>Dpto. de Compras y Contrataciones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51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left w:val="nil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526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 Técnicas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Freddy Quispe Mamani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Supervisor de Almacenes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FF"/>
                <w:sz w:val="16"/>
                <w:szCs w:val="16"/>
              </w:rPr>
              <w:t>Departamento de Bienes y Servicios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6"/>
                <w:szCs w:val="6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9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1705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2E8">
              <w:rPr>
                <w:rFonts w:ascii="Arial" w:hAnsi="Arial" w:cs="Arial"/>
                <w:color w:val="000000"/>
                <w:sz w:val="16"/>
                <w:szCs w:val="16"/>
              </w:rPr>
              <w:t>2409090</w:t>
            </w:r>
          </w:p>
          <w:p w:rsidR="009702E8" w:rsidRPr="009702E8" w:rsidRDefault="009702E8" w:rsidP="009702E8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02E8">
              <w:rPr>
                <w:rFonts w:ascii="Arial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702E8">
              <w:rPr>
                <w:rFonts w:ascii="Arial" w:hAnsi="Arial" w:cs="Arial"/>
                <w:color w:val="000000"/>
                <w:sz w:val="16"/>
                <w:szCs w:val="16"/>
              </w:rPr>
              <w:t>. 4719 (Consultas Administrativas)</w:t>
            </w:r>
          </w:p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color w:val="000000"/>
                <w:sz w:val="16"/>
                <w:szCs w:val="16"/>
              </w:rPr>
              <w:t>Int.4506 (Consultas 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Verdana" w:hAnsi="Verdana" w:cs="Arial"/>
                <w:color w:val="000000"/>
                <w:sz w:val="16"/>
                <w:szCs w:val="16"/>
              </w:rPr>
              <w:t>2664790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02E8" w:rsidRPr="009702E8" w:rsidRDefault="009702E8" w:rsidP="009702E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8" w:history="1">
              <w:r w:rsidRPr="009702E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btorrico</w:t>
              </w:r>
              <w:r w:rsidRPr="009702E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@bcb.gob.bo</w:t>
              </w:r>
            </w:hyperlink>
            <w:r w:rsidRPr="009702E8">
              <w:rPr>
                <w:rFonts w:ascii="Arial" w:hAnsi="Arial" w:cs="Arial"/>
                <w:sz w:val="14"/>
                <w:szCs w:val="14"/>
                <w:lang w:val="pt-BR"/>
              </w:rPr>
              <w:t xml:space="preserve">  </w:t>
            </w:r>
          </w:p>
          <w:p w:rsidR="009702E8" w:rsidRPr="009702E8" w:rsidRDefault="009702E8" w:rsidP="009702E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702E8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9702E8" w:rsidRPr="009702E8" w:rsidRDefault="009702E8" w:rsidP="009702E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Pr="009702E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fquispe@bcb.gob.bo</w:t>
              </w:r>
            </w:hyperlink>
          </w:p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240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9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9702E8" w:rsidRPr="009702E8" w:rsidRDefault="009702E8" w:rsidP="009702E8">
            <w:pPr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9702E8" w:rsidRPr="009702E8" w:rsidTr="009702E8">
        <w:trPr>
          <w:jc w:val="center"/>
        </w:trPr>
        <w:tc>
          <w:tcPr>
            <w:tcW w:w="628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27" w:type="dxa"/>
            <w:tcBorders>
              <w:bottom w:val="single" w:sz="12" w:space="0" w:color="244061"/>
            </w:tcBorders>
            <w:vAlign w:val="center"/>
          </w:tcPr>
          <w:p w:rsidR="009702E8" w:rsidRPr="009702E8" w:rsidRDefault="009702E8" w:rsidP="009702E8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2" w:type="dxa"/>
            <w:tcBorders>
              <w:bottom w:val="single" w:sz="12" w:space="0" w:color="244061"/>
              <w:right w:val="single" w:sz="12" w:space="0" w:color="244061"/>
            </w:tcBorders>
          </w:tcPr>
          <w:p w:rsidR="009702E8" w:rsidRPr="009702E8" w:rsidRDefault="009702E8" w:rsidP="009702E8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3541"/>
        <w:gridCol w:w="198"/>
      </w:tblGrid>
      <w:tr w:rsidR="009702E8" w:rsidRPr="009702E8" w:rsidTr="009702E8">
        <w:trPr>
          <w:trHeight w:val="36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9702E8" w:rsidRPr="009702E8" w:rsidRDefault="009702E8" w:rsidP="009702E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bookmarkStart w:id="1" w:name="OLE_LINK3"/>
            <w:bookmarkStart w:id="2" w:name="OLE_LINK4"/>
            <w:r w:rsidRPr="009702E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9702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9702E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970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9702E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9702E8" w:rsidRPr="009702E8" w:rsidTr="009702E8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702E8" w:rsidRPr="009702E8" w:rsidRDefault="009702E8" w:rsidP="009702E8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9702E8" w:rsidRPr="009702E8" w:rsidRDefault="009702E8" w:rsidP="00BE1A0A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18"/>
              </w:rPr>
            </w:pPr>
            <w:r w:rsidRPr="009702E8">
              <w:rPr>
                <w:rFonts w:ascii="Arial" w:eastAsia="Times New Roman" w:hAnsi="Arial" w:cs="Arial"/>
                <w:sz w:val="14"/>
                <w:szCs w:val="18"/>
              </w:rPr>
              <w:t>Presentación de propuestas:</w:t>
            </w:r>
          </w:p>
          <w:p w:rsidR="009702E8" w:rsidRPr="009702E8" w:rsidRDefault="009702E8" w:rsidP="00BE1A0A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4"/>
                <w:szCs w:val="18"/>
              </w:rPr>
            </w:pPr>
            <w:r w:rsidRPr="009702E8">
              <w:rPr>
                <w:rFonts w:ascii="Arial" w:eastAsia="Times New Roman" w:hAnsi="Arial" w:cs="Arial"/>
                <w:sz w:val="14"/>
                <w:szCs w:val="18"/>
              </w:rPr>
              <w:t>Para contrataciones hasta Bs.200.000.- (DOSCIENTOS MIL 00/100 BOLIVIANOS), plazo mínimo cuatro (4) días hábiles.</w:t>
            </w:r>
          </w:p>
          <w:p w:rsidR="009702E8" w:rsidRPr="009702E8" w:rsidRDefault="009702E8" w:rsidP="00BE1A0A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4"/>
                <w:szCs w:val="18"/>
              </w:rPr>
            </w:pPr>
            <w:r w:rsidRPr="009702E8">
              <w:rPr>
                <w:rFonts w:ascii="Arial" w:eastAsia="Times New Roman" w:hAnsi="Arial" w:cs="Arial"/>
                <w:sz w:val="14"/>
                <w:szCs w:val="18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702E8" w:rsidRPr="009702E8" w:rsidRDefault="009702E8" w:rsidP="009702E8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Ambos computables a partir del día siguiente hábil de la publicación de la convocatoria;</w:t>
            </w:r>
          </w:p>
          <w:p w:rsidR="009702E8" w:rsidRPr="009702E8" w:rsidRDefault="009702E8" w:rsidP="00BE1A0A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702E8">
              <w:rPr>
                <w:rFonts w:ascii="Arial" w:eastAsia="Times New Roman" w:hAnsi="Arial" w:cs="Arial"/>
                <w:sz w:val="14"/>
                <w:szCs w:val="14"/>
              </w:rPr>
              <w:t>Presentación de documentos para la formalización de la contratación, plazo de entrega de documentos no menor a cuatro (4) días hábiles);</w:t>
            </w:r>
          </w:p>
          <w:p w:rsidR="009702E8" w:rsidRPr="009702E8" w:rsidRDefault="009702E8" w:rsidP="00BE1A0A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702E8">
              <w:rPr>
                <w:rFonts w:ascii="Arial" w:eastAsia="Times New Roman" w:hAnsi="Arial" w:cs="Arial"/>
                <w:sz w:val="14"/>
                <w:szCs w:val="14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702E8" w:rsidRPr="009702E8" w:rsidRDefault="009702E8" w:rsidP="009702E8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9702E8" w:rsidRPr="009702E8" w:rsidTr="009702E8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9702E8" w:rsidRPr="009702E8" w:rsidRDefault="009702E8" w:rsidP="009702E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9702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9702E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9702E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9702E8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  <w:t>Presentación de las Propuestas:</w:t>
            </w:r>
          </w:p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  <w:t>En forma física:</w:t>
            </w:r>
          </w:p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sz w:val="12"/>
                <w:szCs w:val="16"/>
                <w:lang w:val="es-ES"/>
              </w:rPr>
              <w:t>Ventanilla Única de Correspondencia – PB del Edificio del BCB, ubicado en el Calle Ayacucho esq. Mercado, La Paz- Bolivia.</w:t>
            </w:r>
          </w:p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6"/>
                <w:lang w:val="es-ES"/>
              </w:rPr>
            </w:pPr>
          </w:p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b/>
                <w:sz w:val="12"/>
                <w:szCs w:val="16"/>
                <w:lang w:val="es-ES"/>
              </w:rPr>
              <w:t xml:space="preserve">En forma electrónica: </w:t>
            </w:r>
          </w:p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sz w:val="12"/>
                <w:szCs w:val="16"/>
                <w:lang w:val="es-ES"/>
              </w:rPr>
              <w:t>A través del RUPE de conformidad al procedimiento establecido en la Reglamentación al D.S. 4285.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709" w:right="113" w:hanging="596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</w:pPr>
            <w:r w:rsidRPr="009702E8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ES"/>
              </w:rPr>
              <w:t>Apertura de Propuestas:</w:t>
            </w:r>
          </w:p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</w:pPr>
            <w:r w:rsidRPr="009702E8"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  <w:t>Piso 7, Dpto. de Compras y Contrataciones del edificio principal del BCB.</w:t>
            </w:r>
          </w:p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</w:pPr>
          </w:p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</w:pPr>
            <w:r w:rsidRPr="009702E8"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  <w:t>El enlace de la reunión para Apertura virtual de Propuestas:</w:t>
            </w:r>
            <w:hyperlink r:id="rId10" w:history="1">
              <w:r w:rsidRPr="009702E8">
                <w:rPr>
                  <w:rFonts w:ascii="Helvetica" w:eastAsia="Times New Roman" w:hAnsi="Helvetica" w:cs="Times New Roman"/>
                  <w:color w:val="0000FF"/>
                  <w:sz w:val="21"/>
                  <w:szCs w:val="21"/>
                  <w:u w:val="single"/>
                  <w:lang w:val="es-ES" w:eastAsia="es-ES"/>
                </w:rPr>
                <w:br/>
              </w:r>
              <w:r w:rsidRPr="009702E8">
                <w:rPr>
                  <w:rFonts w:ascii="Arial" w:eastAsia="Times New Roman" w:hAnsi="Arial" w:cs="Arial"/>
                  <w:color w:val="0000FF"/>
                  <w:sz w:val="12"/>
                  <w:szCs w:val="21"/>
                  <w:u w:val="single"/>
                  <w:lang w:val="es-ES" w:eastAsia="es-ES"/>
                </w:rPr>
                <w:t>https://bcbbolivia.webex.com/bcbbolivia-p/onstage/g.php?MTID=ee094b79e24aef3d1eaa4f146049b209e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BE1A0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9702E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02E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702E8" w:rsidRPr="009702E8" w:rsidTr="00970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02E8" w:rsidRPr="009702E8" w:rsidRDefault="009702E8" w:rsidP="009702E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9702E8" w:rsidRPr="009702E8" w:rsidRDefault="009702E8" w:rsidP="009702E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s-ES"/>
        </w:rPr>
      </w:pPr>
    </w:p>
    <w:p w:rsidR="009702E8" w:rsidRDefault="009702E8"/>
    <w:p w:rsidR="009702E8" w:rsidRDefault="009702E8"/>
    <w:sectPr w:rsidR="00970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9EA83D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E8"/>
    <w:rsid w:val="002A10D2"/>
    <w:rsid w:val="003246B6"/>
    <w:rsid w:val="00793CA8"/>
    <w:rsid w:val="009702E8"/>
    <w:rsid w:val="00B43AFB"/>
    <w:rsid w:val="00BE1A0A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C7D6-9E61-4817-BF39-7113CC3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9702E8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9702E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9702E8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9702E8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9702E8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702E8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702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9702E8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702E8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9702E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702E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702E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702E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702E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702E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702E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702E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702E8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9702E8"/>
  </w:style>
  <w:style w:type="paragraph" w:styleId="Textocomentario">
    <w:name w:val="annotation text"/>
    <w:aliases w:val=" Car Car"/>
    <w:basedOn w:val="Normal"/>
    <w:link w:val="TextocomentarioCar"/>
    <w:unhideWhenUsed/>
    <w:rsid w:val="009702E8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702E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702E8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9702E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702E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702E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702E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02E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702E8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702E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9702E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9702E8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702E8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9702E8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9702E8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9702E8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702E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702E8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702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702E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02E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7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0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702E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02E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02E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702E8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702E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02E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702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02E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702E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9702E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702E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9702E8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9702E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702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702E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702E8"/>
    <w:rPr>
      <w:vertAlign w:val="superscript"/>
    </w:rPr>
  </w:style>
  <w:style w:type="paragraph" w:customStyle="1" w:styleId="BodyText21">
    <w:name w:val="Body Text 21"/>
    <w:basedOn w:val="Normal"/>
    <w:rsid w:val="009702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9702E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02E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702E8"/>
  </w:style>
  <w:style w:type="paragraph" w:customStyle="1" w:styleId="Document1">
    <w:name w:val="Document 1"/>
    <w:rsid w:val="009702E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702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02E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70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02E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702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702E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702E8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702E8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9702E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702E8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9702E8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9702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9702E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9702E8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9702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97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7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02E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702E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02E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02E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702E8"/>
    <w:rPr>
      <w:b/>
      <w:bCs/>
    </w:rPr>
  </w:style>
  <w:style w:type="paragraph" w:customStyle="1" w:styleId="Subttulo1">
    <w:name w:val="Subtítulo1"/>
    <w:basedOn w:val="Normal"/>
    <w:next w:val="Normal"/>
    <w:qFormat/>
    <w:rsid w:val="009702E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702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702E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02E8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9702E8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9702E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02E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locked/>
    <w:rsid w:val="009702E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70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70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2E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9702E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link w:val="Subttulo"/>
    <w:uiPriority w:val="11"/>
    <w:rsid w:val="009702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-p/onstage/g.php?MTID=ee094b79e24aef3d1eaa4f146049b209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587-F305-4FBB-AE71-88ECE04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2020-09-15T17:52:00Z</dcterms:created>
  <dcterms:modified xsi:type="dcterms:W3CDTF">2020-09-15T19:21:00Z</dcterms:modified>
</cp:coreProperties>
</file>