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964"/>
        <w:gridCol w:w="282"/>
        <w:gridCol w:w="280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804"/>
        <w:gridCol w:w="804"/>
        <w:gridCol w:w="272"/>
      </w:tblGrid>
      <w:tr w:rsidR="00B37C51" w:rsidRPr="00B807FA" w:rsidTr="00B37C51">
        <w:trPr>
          <w:trHeight w:val="1539"/>
          <w:jc w:val="center"/>
        </w:trPr>
        <w:tc>
          <w:tcPr>
            <w:tcW w:w="1377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7C51" w:rsidRPr="00B37C51" w:rsidRDefault="00B37C51" w:rsidP="00B37C51">
            <w:pPr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BO"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628008026" r:id="rId7"/>
              </w:object>
            </w:r>
          </w:p>
        </w:tc>
        <w:tc>
          <w:tcPr>
            <w:tcW w:w="8969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B37C51" w:rsidRPr="00A40DB3" w:rsidRDefault="00B37C51" w:rsidP="00B37C51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B37C51" w:rsidRPr="00AC207A" w:rsidRDefault="00B37C51" w:rsidP="00B37C51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B37C51" w:rsidRPr="00AC207A" w:rsidRDefault="00B37C51" w:rsidP="00B37C51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B37C51" w:rsidRPr="00B37C51" w:rsidRDefault="00B37C51" w:rsidP="00B37C5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033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B37C51" w:rsidRPr="00B807FA" w:rsidTr="004B488A">
        <w:trPr>
          <w:trHeight w:val="275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37C51" w:rsidRPr="00B807FA" w:rsidTr="004B488A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37C51" w:rsidRPr="00B807FA" w:rsidTr="004B488A">
        <w:trPr>
          <w:trHeight w:val="295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 w:rsidRPr="00CA17A6">
              <w:rPr>
                <w:rFonts w:cs="Arial"/>
                <w:bCs/>
                <w:iCs/>
                <w:color w:val="000000"/>
                <w:sz w:val="18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N° 033/2019-1</w:t>
            </w:r>
            <w:r w:rsidRPr="00E4122B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31EA5" w:rsidRPr="00B807FA" w:rsidTr="004B488A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F31EA5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F31EA5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F31EA5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F31EA5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F31EA5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F31EA5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trHeight w:val="246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6270C1" w:rsidRDefault="00B37C51" w:rsidP="004B488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es-BO"/>
              </w:rPr>
            </w:pPr>
            <w:r w:rsidRPr="00A20EF7">
              <w:rPr>
                <w:rFonts w:cs="Arial"/>
                <w:b/>
                <w:bCs/>
                <w:color w:val="0000FF"/>
                <w:szCs w:val="15"/>
              </w:rPr>
              <w:t>OBRA DE REPARACIÓN Y REFUERZO DEL PISO DE VIDRIO DE LA BIBLIOTECA DEL BCB</w:t>
            </w:r>
            <w:r>
              <w:rPr>
                <w:rFonts w:ascii="Arial" w:hAnsi="Arial" w:cs="Arial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6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1E5ED1">
              <w:rPr>
                <w:rFonts w:cs="Arial"/>
                <w:b/>
                <w:color w:val="0000FF"/>
                <w:szCs w:val="15"/>
              </w:rPr>
              <w:t>B</w:t>
            </w:r>
            <w:r>
              <w:rPr>
                <w:rFonts w:cs="Arial"/>
                <w:b/>
                <w:color w:val="0000FF"/>
                <w:szCs w:val="15"/>
              </w:rPr>
              <w:t>s157.467,65 (Ciento Cincuenta y Siete Mil Cuatrocientos Sesenta y Siete 65/100)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Plazo de Ejecución de Obra </w:t>
            </w:r>
            <w:r w:rsidRPr="00B807FA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La obra deberá ser ejecutada en un plazo de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cuarenta </w:t>
            </w:r>
            <w:r w:rsidRPr="00322CCC">
              <w:rPr>
                <w:rFonts w:ascii="Arial" w:hAnsi="Arial" w:cs="Arial"/>
                <w:b/>
                <w:i/>
                <w:sz w:val="14"/>
                <w:lang w:val="es-BO"/>
              </w:rPr>
              <w:t>(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4</w:t>
            </w:r>
            <w:r w:rsidRPr="00322CCC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0) 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>días calendario, computable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s</w:t>
            </w:r>
            <w:r w:rsidRPr="00180EEF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desde la fecha establecida en la Orden de Proceder, emitida por el Supervisor de Obra, según especificaciones técnicas.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F5170E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F5170E" w:rsidRDefault="00B37C51" w:rsidP="004B488A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F5170E" w:rsidRDefault="00B37C51" w:rsidP="004B488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F5170E" w:rsidRDefault="00B37C51" w:rsidP="004B488A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F5170E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37C51" w:rsidRPr="00B807FA" w:rsidTr="004B488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>Señalar el presupuesto a aplicar para la contratación de la obra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jc w:val="both"/>
              <w:rPr>
                <w:rFonts w:ascii="Arial" w:hAnsi="Arial" w:cs="Arial"/>
              </w:rPr>
            </w:pPr>
            <w:r w:rsidRPr="00B807FA">
              <w:rPr>
                <w:rFonts w:ascii="Arial" w:hAnsi="Arial" w:cs="Arial"/>
              </w:rPr>
              <w:t xml:space="preserve">Presupuesto de la próxima gestión </w:t>
            </w:r>
            <w:r w:rsidRPr="00B807FA">
              <w:rPr>
                <w:rFonts w:ascii="Arial" w:hAnsi="Arial" w:cs="Arial"/>
                <w:i/>
                <w:sz w:val="14"/>
              </w:rPr>
              <w:t>(el proceso se 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24"/>
        <w:gridCol w:w="152"/>
        <w:gridCol w:w="274"/>
        <w:gridCol w:w="275"/>
        <w:gridCol w:w="274"/>
        <w:gridCol w:w="276"/>
        <w:gridCol w:w="276"/>
        <w:gridCol w:w="283"/>
        <w:gridCol w:w="280"/>
        <w:gridCol w:w="281"/>
        <w:gridCol w:w="272"/>
        <w:gridCol w:w="277"/>
        <w:gridCol w:w="276"/>
        <w:gridCol w:w="286"/>
        <w:gridCol w:w="284"/>
        <w:gridCol w:w="284"/>
        <w:gridCol w:w="199"/>
        <w:gridCol w:w="77"/>
        <w:gridCol w:w="191"/>
        <w:gridCol w:w="82"/>
        <w:gridCol w:w="273"/>
        <w:gridCol w:w="272"/>
        <w:gridCol w:w="273"/>
        <w:gridCol w:w="108"/>
        <w:gridCol w:w="165"/>
        <w:gridCol w:w="273"/>
        <w:gridCol w:w="273"/>
        <w:gridCol w:w="116"/>
        <w:gridCol w:w="156"/>
        <w:gridCol w:w="273"/>
        <w:gridCol w:w="274"/>
        <w:gridCol w:w="274"/>
        <w:gridCol w:w="273"/>
        <w:gridCol w:w="272"/>
        <w:gridCol w:w="208"/>
        <w:gridCol w:w="65"/>
        <w:gridCol w:w="272"/>
        <w:gridCol w:w="272"/>
        <w:gridCol w:w="272"/>
        <w:gridCol w:w="272"/>
        <w:gridCol w:w="272"/>
      </w:tblGrid>
      <w:tr w:rsidR="00B37C51" w:rsidRPr="00B807FA" w:rsidTr="004B488A">
        <w:trPr>
          <w:trHeight w:val="100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5" w:type="dxa"/>
            <w:gridSpan w:val="23"/>
            <w:vMerge w:val="restart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37C51" w:rsidRPr="00B807FA" w:rsidRDefault="00B37C51" w:rsidP="004B488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vAlign w:val="center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5" w:type="dxa"/>
            <w:gridSpan w:val="23"/>
            <w:vMerge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sz w:val="12"/>
                <w:lang w:val="es-BO"/>
              </w:rPr>
            </w:pPr>
            <w:r w:rsidRPr="00B807F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9829FF" w:rsidRDefault="00B37C51" w:rsidP="004B488A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37C51" w:rsidRPr="00B807FA" w:rsidTr="004B488A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B37C51" w:rsidRPr="00B807FA" w:rsidRDefault="00B37C51" w:rsidP="004B488A">
            <w:pPr>
              <w:pStyle w:val="Prrafodelista"/>
              <w:ind w:left="30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 w:rsidRPr="007D64AF">
              <w:rPr>
                <w:rFonts w:ascii="Arial" w:hAnsi="Arial" w:cs="Arial"/>
                <w:lang w:val="es-BO"/>
              </w:rPr>
              <w:t>Piso 7 del Edificio Principal del BCB, ubicado Calle Ayacucho esquina Mercado. La Paz – Bolivia</w:t>
            </w:r>
          </w:p>
        </w:tc>
        <w:tc>
          <w:tcPr>
            <w:tcW w:w="17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7D64AF">
              <w:rPr>
                <w:rFonts w:ascii="Arial" w:hAnsi="Arial" w:cs="Arial"/>
                <w:sz w:val="14"/>
                <w:lang w:val="es-BO"/>
              </w:rPr>
              <w:t xml:space="preserve">8:30 </w:t>
            </w:r>
            <w:r>
              <w:rPr>
                <w:rFonts w:ascii="Arial" w:hAnsi="Arial" w:cs="Arial"/>
                <w:sz w:val="14"/>
                <w:lang w:val="es-BO"/>
              </w:rPr>
              <w:t xml:space="preserve">  </w:t>
            </w:r>
            <w:r w:rsidRPr="007D64AF">
              <w:rPr>
                <w:rFonts w:ascii="Arial" w:hAnsi="Arial" w:cs="Arial"/>
                <w:sz w:val="14"/>
                <w:lang w:val="es-BO"/>
              </w:rPr>
              <w:t>– 1</w:t>
            </w:r>
            <w:r>
              <w:rPr>
                <w:rFonts w:ascii="Arial" w:hAnsi="Arial" w:cs="Arial"/>
                <w:sz w:val="14"/>
                <w:lang w:val="es-BO"/>
              </w:rPr>
              <w:t>8</w:t>
            </w:r>
            <w:r w:rsidRPr="007D64AF">
              <w:rPr>
                <w:rFonts w:ascii="Arial" w:hAnsi="Arial" w:cs="Arial"/>
                <w:sz w:val="14"/>
                <w:lang w:val="es-BO"/>
              </w:rPr>
              <w:t>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649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39" w:type="dxa"/>
            <w:gridSpan w:val="9"/>
            <w:tcBorders>
              <w:bottom w:val="single" w:sz="4" w:space="0" w:color="auto"/>
            </w:tcBorders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807F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64" w:type="dxa"/>
            <w:gridSpan w:val="11"/>
            <w:tcBorders>
              <w:bottom w:val="single" w:sz="4" w:space="0" w:color="auto"/>
            </w:tcBorders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80" w:type="dxa"/>
            <w:gridSpan w:val="9"/>
            <w:tcBorders>
              <w:bottom w:val="single" w:sz="4" w:space="0" w:color="auto"/>
            </w:tcBorders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807F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649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0C7A3F">
              <w:rPr>
                <w:rFonts w:ascii="Arial" w:hAnsi="Arial" w:cs="Arial"/>
                <w:lang w:val="es-BO"/>
              </w:rPr>
              <w:t>Administrativas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Bismarck Omar Torrico Araujo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0C7A3F" w:rsidRDefault="00B37C51" w:rsidP="004B488A">
            <w:pPr>
              <w:jc w:val="center"/>
              <w:rPr>
                <w:rFonts w:cs="Arial"/>
                <w:color w:val="0000FF"/>
                <w:szCs w:val="15"/>
              </w:rPr>
            </w:pPr>
            <w:r w:rsidRPr="000C7A3F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0C7A3F" w:rsidTr="004B488A">
        <w:trPr>
          <w:jc w:val="center"/>
        </w:trPr>
        <w:tc>
          <w:tcPr>
            <w:tcW w:w="2649" w:type="dxa"/>
            <w:gridSpan w:val="9"/>
            <w:tcBorders>
              <w:left w:val="single" w:sz="12" w:space="0" w:color="1F4E79" w:themeColor="accent1" w:themeShade="80"/>
            </w:tcBorders>
            <w:vAlign w:val="center"/>
          </w:tcPr>
          <w:p w:rsidR="00B37C51" w:rsidRPr="000C7A3F" w:rsidRDefault="00B37C51" w:rsidP="004B488A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C51" w:rsidRPr="000C7A3F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  <w:vAlign w:val="center"/>
          </w:tcPr>
          <w:p w:rsidR="00B37C51" w:rsidRPr="000C7A3F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7C51" w:rsidRPr="000C7A3F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0C7A3F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C51" w:rsidRPr="000C7A3F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B37C51" w:rsidRPr="000C7A3F" w:rsidRDefault="00B37C51" w:rsidP="004B488A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649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0C7A3F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 xml:space="preserve">Jaime Garcia Tenorio 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 xml:space="preserve">Profesional en Infraestructura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F5170E" w:rsidRDefault="00B37C51" w:rsidP="004B488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5170E">
              <w:rPr>
                <w:rFonts w:cs="Arial"/>
                <w:color w:val="0000FF"/>
                <w:sz w:val="14"/>
                <w:szCs w:val="15"/>
              </w:rPr>
              <w:t>Dpto. de Mejoramiento y Mantenimiento de la Infraestructura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3959AB" w:rsidRDefault="00B37C51" w:rsidP="004B488A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B37C51" w:rsidRPr="003959AB" w:rsidRDefault="00B37C51" w:rsidP="004B488A">
            <w:pPr>
              <w:snapToGrid w:val="0"/>
              <w:spacing w:before="60" w:after="6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47</w:t>
            </w:r>
            <w:r>
              <w:rPr>
                <w:rFonts w:cs="Arial"/>
                <w:bCs/>
                <w:lang w:val="es-BO" w:eastAsia="es-BO"/>
              </w:rPr>
              <w:t>19</w:t>
            </w:r>
            <w:r w:rsidRPr="003959AB">
              <w:rPr>
                <w:rFonts w:cs="Arial"/>
                <w:bCs/>
                <w:lang w:val="es-BO" w:eastAsia="es-BO"/>
              </w:rPr>
              <w:t xml:space="preserve"> (Consultas Administrativas)</w:t>
            </w:r>
          </w:p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bCs/>
                <w:lang w:val="es-BO" w:eastAsia="es-BO"/>
              </w:rPr>
              <w:t>4741</w:t>
            </w:r>
            <w:r w:rsidRPr="003959AB">
              <w:rPr>
                <w:rFonts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37C51" w:rsidRPr="00726178" w:rsidRDefault="00B37C51" w:rsidP="004B488A">
            <w:pPr>
              <w:snapToGrid w:val="0"/>
              <w:jc w:val="both"/>
            </w:pPr>
            <w:r>
              <w:t>btorrico</w:t>
            </w:r>
            <w:r w:rsidRPr="003959AB">
              <w:t>@bcb.gob.bo</w:t>
            </w:r>
            <w:r w:rsidRPr="00726178">
              <w:t xml:space="preserve"> (Consultas administrativas)</w:t>
            </w:r>
          </w:p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  <w:r>
              <w:t>jtgarcia</w:t>
            </w:r>
            <w:r w:rsidRPr="00726178">
              <w:t>@bcb.gob.bo 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37C51" w:rsidRPr="00B807FA" w:rsidTr="004B488A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B37C51" w:rsidRPr="00B807FA" w:rsidRDefault="00B37C51" w:rsidP="004B488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37C51" w:rsidRPr="00B807FA" w:rsidRDefault="00B37C51" w:rsidP="004B488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37C51" w:rsidRDefault="00B37C51" w:rsidP="00B37C51">
      <w:pPr>
        <w:pStyle w:val="Puesto"/>
        <w:spacing w:after="60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p w:rsidR="00B37C51" w:rsidRDefault="00B37C51" w:rsidP="00B37C51">
      <w:pPr>
        <w:pStyle w:val="Puesto"/>
        <w:spacing w:after="60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p w:rsidR="00B37C51" w:rsidRDefault="00B37C51" w:rsidP="00B37C51">
      <w:pPr>
        <w:pStyle w:val="Puesto"/>
        <w:spacing w:after="60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37C51" w:rsidRPr="00B807FA" w:rsidTr="004B488A">
        <w:trPr>
          <w:trHeight w:val="308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B37C51" w:rsidRPr="00B807FA" w:rsidRDefault="00B37C51" w:rsidP="004B48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lang w:val="es-BO"/>
              </w:rPr>
              <w:lastRenderedPageBreak/>
              <w:br w:type="page"/>
            </w: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B807FA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807FA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37C51" w:rsidRPr="00B807FA" w:rsidTr="004B488A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37C51" w:rsidRPr="00B807FA" w:rsidRDefault="00B37C51" w:rsidP="004B488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37C51" w:rsidRPr="00B807FA" w:rsidRDefault="00B37C51" w:rsidP="00B37C51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B37C51" w:rsidRPr="00B807FA" w:rsidRDefault="00B37C51" w:rsidP="00B37C51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B37C51" w:rsidRPr="00B807FA" w:rsidRDefault="00B37C51" w:rsidP="00B37C51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37C51" w:rsidRPr="00B807FA" w:rsidRDefault="00B37C51" w:rsidP="004B488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Ambos computables a partir del día hábil siguiente de la </w:t>
            </w:r>
            <w:r>
              <w:rPr>
                <w:rFonts w:ascii="Arial" w:hAnsi="Arial" w:cs="Arial"/>
                <w:lang w:val="es-BO"/>
              </w:rPr>
              <w:t>publicación de la convocatoria.</w:t>
            </w:r>
          </w:p>
          <w:p w:rsidR="00B37C51" w:rsidRPr="00B807FA" w:rsidRDefault="00B37C51" w:rsidP="00B37C51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B37C51" w:rsidRPr="00B807FA" w:rsidRDefault="00B37C51" w:rsidP="00B37C51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807F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37C51" w:rsidRPr="00B807FA" w:rsidRDefault="00B37C51" w:rsidP="004B488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B807F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  <w:tr w:rsidR="00B37C51" w:rsidRPr="00B807FA" w:rsidTr="004B488A">
        <w:trPr>
          <w:trHeight w:val="309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B37C51" w:rsidRPr="00B807FA" w:rsidRDefault="00B37C51" w:rsidP="004B488A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807F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B807FA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Publicación del DBC en el SICOES</w:t>
            </w:r>
            <w:r w:rsidRPr="00B807F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Inspección previa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7D00D3" w:rsidRDefault="00B37C51" w:rsidP="004B488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Biblioteca Casto Rojas</w:t>
            </w:r>
            <w:r w:rsidRPr="007D00D3">
              <w:rPr>
                <w:rFonts w:ascii="Arial" w:hAnsi="Arial" w:cs="Arial"/>
                <w:sz w:val="14"/>
                <w:lang w:val="es-BO"/>
              </w:rPr>
              <w:t xml:space="preserve">, ubicado en </w:t>
            </w:r>
            <w:r>
              <w:rPr>
                <w:rFonts w:ascii="Arial" w:hAnsi="Arial" w:cs="Arial"/>
                <w:sz w:val="14"/>
                <w:lang w:val="es-BO"/>
              </w:rPr>
              <w:t>la</w:t>
            </w:r>
            <w:r w:rsidRPr="007D00D3">
              <w:rPr>
                <w:rFonts w:ascii="Arial" w:hAnsi="Arial" w:cs="Arial"/>
                <w:sz w:val="14"/>
                <w:lang w:val="es-BO"/>
              </w:rPr>
              <w:t xml:space="preserve"> Calle </w:t>
            </w:r>
            <w:proofErr w:type="spellStart"/>
            <w:r>
              <w:rPr>
                <w:rFonts w:ascii="Arial" w:hAnsi="Arial" w:cs="Arial"/>
                <w:sz w:val="14"/>
                <w:lang w:val="es-BO"/>
              </w:rPr>
              <w:t>Ingavi</w:t>
            </w:r>
            <w:proofErr w:type="spellEnd"/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7D00D3">
              <w:rPr>
                <w:rFonts w:ascii="Arial" w:hAnsi="Arial" w:cs="Arial"/>
                <w:sz w:val="14"/>
                <w:lang w:val="es-BO"/>
              </w:rPr>
              <w:t xml:space="preserve">esq. </w:t>
            </w:r>
            <w:proofErr w:type="spellStart"/>
            <w:r>
              <w:rPr>
                <w:rFonts w:ascii="Arial" w:hAnsi="Arial" w:cs="Arial"/>
                <w:sz w:val="14"/>
                <w:lang w:val="es-BO"/>
              </w:rPr>
              <w:t>Yanacocha</w:t>
            </w:r>
            <w:proofErr w:type="spellEnd"/>
            <w:r w:rsidRPr="007D00D3">
              <w:rPr>
                <w:rFonts w:ascii="Arial" w:hAnsi="Arial" w:cs="Arial"/>
                <w:sz w:val="14"/>
                <w:lang w:val="es-BO"/>
              </w:rPr>
              <w:t>, La Paz</w:t>
            </w:r>
            <w:r>
              <w:rPr>
                <w:rFonts w:ascii="Arial" w:hAnsi="Arial" w:cs="Arial"/>
                <w:sz w:val="14"/>
                <w:lang w:val="es-BO"/>
              </w:rPr>
              <w:t xml:space="preserve"> </w:t>
            </w:r>
            <w:r w:rsidRPr="007D00D3">
              <w:rPr>
                <w:rFonts w:ascii="Arial" w:hAnsi="Arial" w:cs="Arial"/>
                <w:sz w:val="14"/>
                <w:lang w:val="es-BO"/>
              </w:rPr>
              <w:t xml:space="preserve">- Bolivia, Coordinar con </w:t>
            </w:r>
            <w:r>
              <w:rPr>
                <w:rFonts w:ascii="Arial" w:hAnsi="Arial" w:cs="Arial"/>
                <w:sz w:val="14"/>
                <w:lang w:val="es-BO"/>
              </w:rPr>
              <w:t xml:space="preserve">Jaime Garcia </w:t>
            </w:r>
            <w:r w:rsidRPr="007D00D3">
              <w:rPr>
                <w:rFonts w:ascii="Arial" w:hAnsi="Arial" w:cs="Arial"/>
                <w:sz w:val="14"/>
                <w:lang w:val="es-BO"/>
              </w:rPr>
              <w:t>– Tel. 2409090, Interno 47</w:t>
            </w:r>
            <w:r>
              <w:rPr>
                <w:rFonts w:ascii="Arial" w:hAnsi="Arial" w:cs="Arial"/>
                <w:sz w:val="14"/>
                <w:lang w:val="es-BO"/>
              </w:rPr>
              <w:t>41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7D00D3" w:rsidRDefault="00B37C51" w:rsidP="004B488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D00D3">
              <w:rPr>
                <w:rFonts w:ascii="Arial" w:hAnsi="Arial" w:cs="Arial"/>
                <w:sz w:val="14"/>
                <w:lang w:val="es-BO"/>
              </w:rPr>
              <w:t>Departamento de Compras y Contrataciones Piso 7 del BCB, calle Ayacucho esquina Mercado.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7D00D3" w:rsidRDefault="00B37C51" w:rsidP="004B48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4"/>
                <w:szCs w:val="15"/>
                <w:lang w:val="es-BO" w:eastAsia="es-BO"/>
              </w:rPr>
            </w:pPr>
            <w:r w:rsidRPr="007D00D3">
              <w:rPr>
                <w:rFonts w:ascii="Arial" w:hAnsi="Arial" w:cs="Arial"/>
                <w:b/>
                <w:bCs/>
                <w:sz w:val="14"/>
                <w:szCs w:val="15"/>
                <w:lang w:val="es-BO" w:eastAsia="es-BO"/>
              </w:rPr>
              <w:t>Presentación de Propuestas:</w:t>
            </w:r>
          </w:p>
          <w:p w:rsidR="00B37C51" w:rsidRPr="007D00D3" w:rsidRDefault="00B37C51" w:rsidP="004B48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5"/>
                <w:lang w:val="es-BO" w:eastAsia="es-BO"/>
              </w:rPr>
            </w:pPr>
            <w:r w:rsidRPr="007D00D3">
              <w:rPr>
                <w:rFonts w:ascii="Arial" w:hAnsi="Arial" w:cs="Arial"/>
                <w:sz w:val="14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B37C51" w:rsidRPr="007D00D3" w:rsidRDefault="00B37C51" w:rsidP="004B48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4"/>
                <w:szCs w:val="15"/>
                <w:lang w:val="es-BO" w:eastAsia="es-BO"/>
              </w:rPr>
            </w:pPr>
            <w:r w:rsidRPr="007D00D3">
              <w:rPr>
                <w:rFonts w:ascii="Arial" w:hAnsi="Arial" w:cs="Arial"/>
                <w:b/>
                <w:bCs/>
                <w:sz w:val="14"/>
                <w:szCs w:val="15"/>
                <w:lang w:val="es-BO" w:eastAsia="es-BO"/>
              </w:rPr>
              <w:t>Apertura de Propuestas:</w:t>
            </w:r>
          </w:p>
          <w:p w:rsidR="00B37C51" w:rsidRPr="007D00D3" w:rsidRDefault="00B37C51" w:rsidP="004B488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7D00D3">
              <w:rPr>
                <w:rFonts w:ascii="Arial" w:hAnsi="Arial" w:cs="Arial"/>
                <w:sz w:val="14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B37C5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B807FA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807F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37C51" w:rsidRPr="00B807FA" w:rsidTr="004B48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7C51" w:rsidRPr="00B807FA" w:rsidRDefault="00B37C51" w:rsidP="004B48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C51" w:rsidRPr="00B807FA" w:rsidRDefault="00B37C51" w:rsidP="004B488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37C51" w:rsidRDefault="00B37C51" w:rsidP="00B37C51">
      <w:pPr>
        <w:pStyle w:val="Puesto"/>
        <w:spacing w:after="60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p w:rsidR="00B37C51" w:rsidRDefault="00B37C51"/>
    <w:p w:rsidR="00B37C51" w:rsidRDefault="00B37C51"/>
    <w:sectPr w:rsidR="00B37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51"/>
    <w:rsid w:val="003246B6"/>
    <w:rsid w:val="00793CA8"/>
    <w:rsid w:val="00B37C51"/>
    <w:rsid w:val="00B43AFB"/>
    <w:rsid w:val="00BF323D"/>
    <w:rsid w:val="00F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5938-6193-4BC3-8A53-BE647E21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37C5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7C5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7C5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7C5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7C5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7C5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7C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7C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7C5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37C5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7C5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7C5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7C5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7C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7C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7C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7C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7C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37C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7C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7C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37C51"/>
    <w:rPr>
      <w:color w:val="0000FF"/>
      <w:u w:val="single"/>
    </w:rPr>
  </w:style>
  <w:style w:type="paragraph" w:styleId="Encabezado">
    <w:name w:val="header"/>
    <w:basedOn w:val="Normal"/>
    <w:link w:val="EncabezadoCar"/>
    <w:rsid w:val="00B37C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C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B37C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37C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,Car"/>
    <w:basedOn w:val="Normal"/>
    <w:link w:val="TextoindependienteCar"/>
    <w:rsid w:val="00B37C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rsid w:val="00B37C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7C5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B37C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37C5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B37C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7C51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7C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7C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7C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7C51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7C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37C51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B37C5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7C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7C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7C5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7C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7C51"/>
  </w:style>
  <w:style w:type="paragraph" w:customStyle="1" w:styleId="1301Autolist">
    <w:name w:val="13.01 Autolist"/>
    <w:basedOn w:val="Normal"/>
    <w:next w:val="Normal"/>
    <w:rsid w:val="00B37C51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7C51"/>
  </w:style>
  <w:style w:type="paragraph" w:customStyle="1" w:styleId="aparagraphs">
    <w:name w:val="(a) paragraphs"/>
    <w:next w:val="Normal"/>
    <w:rsid w:val="00B37C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7C51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7C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7C51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7C51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B37C51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37C51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7C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7C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7C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7C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7C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37C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37C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37C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7C51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7C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7C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7C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7C51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7C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7C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7C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37C51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7C51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7C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7C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7C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7C51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37C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B37C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B37C51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7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7C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37C51"/>
  </w:style>
  <w:style w:type="numbering" w:customStyle="1" w:styleId="Sinlista11">
    <w:name w:val="Sin lista11"/>
    <w:next w:val="Sinlista"/>
    <w:uiPriority w:val="99"/>
    <w:semiHidden/>
    <w:unhideWhenUsed/>
    <w:rsid w:val="00B37C51"/>
  </w:style>
  <w:style w:type="paragraph" w:customStyle="1" w:styleId="WW-Textosinformato">
    <w:name w:val="WW-Texto sin formato"/>
    <w:basedOn w:val="Normal"/>
    <w:rsid w:val="00B37C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7C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7C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7C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7C51"/>
    <w:rPr>
      <w:color w:val="80808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7C5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7C5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rsid w:val="00B37C51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B37C51"/>
    <w:rPr>
      <w:b/>
      <w:bCs/>
    </w:rPr>
  </w:style>
  <w:style w:type="character" w:styleId="nfasis">
    <w:name w:val="Emphasis"/>
    <w:uiPriority w:val="20"/>
    <w:qFormat/>
    <w:rsid w:val="00B37C51"/>
    <w:rPr>
      <w:i/>
      <w:iCs/>
    </w:rPr>
  </w:style>
  <w:style w:type="paragraph" w:customStyle="1" w:styleId="BodyText23">
    <w:name w:val="Body Text 23"/>
    <w:basedOn w:val="Normal"/>
    <w:rsid w:val="00B37C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7C51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7C51"/>
    <w:rPr>
      <w:color w:val="800080"/>
      <w:u w:val="single"/>
    </w:rPr>
  </w:style>
  <w:style w:type="paragraph" w:customStyle="1" w:styleId="TOCBase">
    <w:name w:val="TOC Base"/>
    <w:basedOn w:val="Normal"/>
    <w:rsid w:val="00B37C51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7C51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7C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7C51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B37C51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7C51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7C51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7C51"/>
  </w:style>
  <w:style w:type="paragraph" w:styleId="Revisin">
    <w:name w:val="Revision"/>
    <w:hidden/>
    <w:uiPriority w:val="99"/>
    <w:semiHidden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7C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7C51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B37C51"/>
  </w:style>
  <w:style w:type="paragraph" w:customStyle="1" w:styleId="Sangra3detindependiente20">
    <w:name w:val="Sangría 3 de t. independiente2"/>
    <w:basedOn w:val="Normal"/>
    <w:rsid w:val="00B37C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numbering" w:customStyle="1" w:styleId="Sinlista111">
    <w:name w:val="Sin lista111"/>
    <w:next w:val="Sinlista"/>
    <w:uiPriority w:val="99"/>
    <w:semiHidden/>
    <w:unhideWhenUsed/>
    <w:rsid w:val="00B37C51"/>
  </w:style>
  <w:style w:type="numbering" w:customStyle="1" w:styleId="Sinlista21">
    <w:name w:val="Sin lista21"/>
    <w:next w:val="Sinlista"/>
    <w:uiPriority w:val="99"/>
    <w:semiHidden/>
    <w:unhideWhenUsed/>
    <w:rsid w:val="00B37C51"/>
  </w:style>
  <w:style w:type="table" w:customStyle="1" w:styleId="Tablaconcuadrcula11">
    <w:name w:val="Tabla con cuadrícula11"/>
    <w:basedOn w:val="Tablanormal"/>
    <w:next w:val="Tablaconcuadrcula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B37C51"/>
  </w:style>
  <w:style w:type="table" w:customStyle="1" w:styleId="Tablaconcuadrcula21">
    <w:name w:val="Tabla con cuadrícula21"/>
    <w:basedOn w:val="Tablanormal"/>
    <w:next w:val="Tablaconcuadrcula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37C51"/>
  </w:style>
  <w:style w:type="numbering" w:customStyle="1" w:styleId="Sinlista1111">
    <w:name w:val="Sin lista1111"/>
    <w:next w:val="Sinlista"/>
    <w:uiPriority w:val="99"/>
    <w:semiHidden/>
    <w:unhideWhenUsed/>
    <w:rsid w:val="00B37C51"/>
  </w:style>
  <w:style w:type="table" w:customStyle="1" w:styleId="Listaclara-nfasis33">
    <w:name w:val="Lista clara - Énfasis 33"/>
    <w:basedOn w:val="Tablanormal"/>
    <w:next w:val="Listaclara-nfasis3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37C5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B37C5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B37C51"/>
    <w:pPr>
      <w:numPr>
        <w:numId w:val="12"/>
      </w:numPr>
      <w:tabs>
        <w:tab w:val="clear" w:pos="360"/>
        <w:tab w:val="num" w:pos="1773"/>
      </w:tabs>
      <w:spacing w:after="200" w:line="276" w:lineRule="auto"/>
      <w:ind w:left="177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B37C51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B37C51"/>
    <w:pPr>
      <w:spacing w:after="200" w:line="276" w:lineRule="auto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B37C51"/>
    <w:pPr>
      <w:spacing w:after="200" w:line="276" w:lineRule="auto"/>
      <w:ind w:firstLine="360"/>
    </w:pPr>
    <w:rPr>
      <w:lang w:eastAsia="es-ES"/>
    </w:rPr>
  </w:style>
  <w:style w:type="character" w:customStyle="1" w:styleId="TextoindependienteprimerasangraCar">
    <w:name w:val="Texto independiente primera sangría Car"/>
    <w:basedOn w:val="Fuentedeprrafopredeter"/>
    <w:link w:val="Textoindependienteprimerasangra1"/>
    <w:uiPriority w:val="99"/>
    <w:semiHidden/>
    <w:rsid w:val="00B37C51"/>
    <w:rPr>
      <w:rFonts w:ascii="Tms Rmn" w:eastAsia="Times New Roman" w:hAnsi="Tms Rmn" w:cs="Times New Roman"/>
      <w:sz w:val="20"/>
      <w:szCs w:val="20"/>
      <w:lang w:val="en-US" w:eastAsia="es-ES"/>
    </w:rPr>
  </w:style>
  <w:style w:type="paragraph" w:customStyle="1" w:styleId="Default">
    <w:name w:val="Default"/>
    <w:rsid w:val="00B37C5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/>
    </w:rPr>
  </w:style>
  <w:style w:type="paragraph" w:styleId="Textoindependienteprimerasangra">
    <w:name w:val="Body Text First Indent"/>
    <w:basedOn w:val="Textoindependiente"/>
    <w:link w:val="TextoindependienteprimerasangraCar1"/>
    <w:rsid w:val="00B37C51"/>
    <w:pPr>
      <w:spacing w:after="0"/>
      <w:ind w:firstLine="360"/>
    </w:pPr>
    <w:rPr>
      <w:rFonts w:ascii="Verdana" w:hAnsi="Verdana"/>
      <w:sz w:val="16"/>
      <w:szCs w:val="16"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B37C51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B37C51"/>
  </w:style>
  <w:style w:type="character" w:customStyle="1" w:styleId="TextoindependienteCar1">
    <w:name w:val="Texto independiente Car1"/>
    <w:aliases w:val="Car Car1"/>
    <w:basedOn w:val="Fuentedeprrafopredeter"/>
    <w:semiHidden/>
    <w:rsid w:val="00B37C51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B37C51"/>
    <w:rPr>
      <w:rFonts w:ascii="Arial" w:hAnsi="Arial" w:cs="Arial" w:hint="default"/>
      <w:b/>
      <w:bCs/>
      <w:kern w:val="28"/>
      <w:szCs w:val="32"/>
      <w:lang w:val="es-ES" w:eastAsia="es-ES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B37C51"/>
  </w:style>
  <w:style w:type="table" w:customStyle="1" w:styleId="Tablaconcuadrcula5">
    <w:name w:val="Tabla con cuadrícula5"/>
    <w:basedOn w:val="Tablanormal"/>
    <w:next w:val="Tablaconcuadrcula"/>
    <w:uiPriority w:val="59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rsid w:val="00B3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3AED-3E43-4C95-8A99-C0F3CE35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2019-08-22T23:26:00Z</dcterms:created>
  <dcterms:modified xsi:type="dcterms:W3CDTF">2019-08-22T23:41:00Z</dcterms:modified>
</cp:coreProperties>
</file>