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24284382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D27765">
                    <w:rPr>
                      <w:rFonts w:ascii="Arial" w:hAnsi="Arial" w:cs="Arial"/>
                      <w:color w:val="FFFFFF"/>
                      <w:sz w:val="24"/>
                    </w:rPr>
                    <w:t>ANPE - P N° 001/2019–2</w:t>
                  </w:r>
                  <w:r w:rsidR="00675B04" w:rsidRPr="00675B04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675B04" w:rsidRPr="00675B04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675B04" w:rsidRPr="00675B04" w:rsidRDefault="00675B04" w:rsidP="00675B04">
      <w:pPr>
        <w:jc w:val="both"/>
        <w:outlineLvl w:val="0"/>
        <w:rPr>
          <w:b/>
          <w:bCs/>
          <w:kern w:val="28"/>
          <w:szCs w:val="18"/>
          <w:lang w:val="es-BO"/>
        </w:rPr>
      </w:pPr>
      <w:bookmarkStart w:id="0" w:name="OLE_LINK3"/>
      <w:bookmarkStart w:id="1" w:name="OLE_LINK4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75B04" w:rsidRPr="00675B04" w:rsidTr="0050010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5B04" w:rsidRPr="00675B04" w:rsidRDefault="00675B04" w:rsidP="0034330F">
            <w:pPr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lang w:val="es-BO" w:eastAsia="en-US"/>
              </w:rPr>
              <w:t>DATOS DEL PROCESOS DE CONTRATACIÓN</w:t>
            </w:r>
          </w:p>
        </w:tc>
      </w:tr>
      <w:tr w:rsidR="00675B04" w:rsidRPr="00675B04" w:rsidTr="0050010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675B0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jc w:val="both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D27765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ANPE - P N° 001/2019–2</w:t>
            </w:r>
            <w:r w:rsidR="00675B04" w:rsidRPr="00675B04">
              <w:rPr>
                <w:rFonts w:ascii="Arial" w:hAnsi="Arial" w:cs="Arial"/>
                <w:color w:val="000000"/>
                <w:lang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A380F" w:rsidRPr="00675B04" w:rsidTr="00500105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CA380F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eastAsia="Calibri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39"/>
        <w:gridCol w:w="322"/>
        <w:gridCol w:w="280"/>
        <w:gridCol w:w="281"/>
        <w:gridCol w:w="271"/>
        <w:gridCol w:w="276"/>
        <w:gridCol w:w="274"/>
        <w:gridCol w:w="279"/>
        <w:gridCol w:w="275"/>
        <w:gridCol w:w="275"/>
        <w:gridCol w:w="29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trHeight w:val="435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bCs/>
                <w:snapToGrid w:val="0"/>
                <w:color w:val="0000FF"/>
              </w:rPr>
              <w:t xml:space="preserve">CONSULTORÍA INDIVIDUAL POR PRODUCTO PARA REALIZAR EL ESTUDIO DE CARGA DE FUEGO DEL EDIFICIO PRINCIPAL DEL BANCO CENTRAL DE BOLIVIA (BCB)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Por el Total 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sz w:val="18"/>
                <w:szCs w:val="18"/>
              </w:rPr>
              <w:t xml:space="preserve">Bs130.000,00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675B04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150 Días calendario, a partir de la orden de proceder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167"/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543"/>
          <w:jc w:val="center"/>
        </w:trPr>
        <w:tc>
          <w:tcPr>
            <w:tcW w:w="233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de Contrato</w:t>
            </w:r>
          </w:p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75B04" w:rsidRPr="00675B04" w:rsidRDefault="00675B04" w:rsidP="00675B04">
            <w:pPr>
              <w:ind w:left="8"/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El  </w:t>
            </w:r>
            <w:proofErr w:type="spellStart"/>
            <w:r w:rsidRPr="00675B04">
              <w:rPr>
                <w:rFonts w:ascii="Arial" w:hAnsi="Arial" w:cs="Arial"/>
                <w:b/>
                <w:i/>
                <w:lang w:val="es-BO"/>
              </w:rPr>
              <w:t>El</w:t>
            </w:r>
            <w:proofErr w:type="spellEnd"/>
            <w:r w:rsidRPr="00675B04">
              <w:rPr>
                <w:rFonts w:ascii="Arial" w:hAnsi="Arial" w:cs="Arial"/>
                <w:b/>
                <w:i/>
                <w:lang w:val="es-BO"/>
              </w:rPr>
              <w:t xml:space="preserve"> proponente adjudicado deberá constituir la garantía del cumplimiento de contrato o solicitar la retención del 7% en caso de pagos parciales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3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C6D9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39"/>
        <w:gridCol w:w="572"/>
        <w:gridCol w:w="275"/>
        <w:gridCol w:w="268"/>
        <w:gridCol w:w="273"/>
        <w:gridCol w:w="271"/>
        <w:gridCol w:w="269"/>
        <w:gridCol w:w="274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75B04" w:rsidRPr="00675B04" w:rsidTr="0050010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lang w:val="es-BO"/>
              </w:rPr>
              <w:t>2019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675B04">
              <w:rPr>
                <w:rFonts w:ascii="Arial" w:eastAsia="Calibri" w:hAnsi="Arial" w:cs="Arial"/>
                <w:color w:val="000000"/>
                <w:lang w:val="es-BO"/>
              </w:rPr>
              <w:t xml:space="preserve">Presupuesto de la presente gestión 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59"/>
        <w:gridCol w:w="268"/>
        <w:gridCol w:w="268"/>
        <w:gridCol w:w="268"/>
        <w:gridCol w:w="56"/>
        <w:gridCol w:w="211"/>
        <w:gridCol w:w="269"/>
        <w:gridCol w:w="218"/>
        <w:gridCol w:w="51"/>
        <w:gridCol w:w="282"/>
        <w:gridCol w:w="273"/>
        <w:gridCol w:w="273"/>
        <w:gridCol w:w="265"/>
        <w:gridCol w:w="270"/>
        <w:gridCol w:w="275"/>
        <w:gridCol w:w="332"/>
        <w:gridCol w:w="273"/>
        <w:gridCol w:w="23"/>
        <w:gridCol w:w="365"/>
        <w:gridCol w:w="95"/>
        <w:gridCol w:w="19"/>
        <w:gridCol w:w="193"/>
        <w:gridCol w:w="98"/>
        <w:gridCol w:w="193"/>
        <w:gridCol w:w="10"/>
        <w:gridCol w:w="281"/>
        <w:gridCol w:w="162"/>
        <w:gridCol w:w="92"/>
        <w:gridCol w:w="300"/>
        <w:gridCol w:w="39"/>
        <w:gridCol w:w="230"/>
        <w:gridCol w:w="269"/>
        <w:gridCol w:w="108"/>
        <w:gridCol w:w="161"/>
        <w:gridCol w:w="267"/>
        <w:gridCol w:w="213"/>
        <w:gridCol w:w="54"/>
        <w:gridCol w:w="222"/>
        <w:gridCol w:w="45"/>
        <w:gridCol w:w="175"/>
        <w:gridCol w:w="92"/>
        <w:gridCol w:w="267"/>
        <w:gridCol w:w="266"/>
        <w:gridCol w:w="266"/>
        <w:gridCol w:w="266"/>
        <w:gridCol w:w="266"/>
        <w:gridCol w:w="266"/>
        <w:gridCol w:w="266"/>
        <w:gridCol w:w="266"/>
      </w:tblGrid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400" w:type="dxa"/>
            <w:gridSpan w:val="29"/>
            <w:vMerge w:val="restart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75B04" w:rsidRPr="00675B04" w:rsidRDefault="00675B04" w:rsidP="00675B0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75B0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67" w:type="dxa"/>
            <w:gridSpan w:val="2"/>
            <w:vMerge w:val="restart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60"/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400" w:type="dxa"/>
            <w:gridSpan w:val="29"/>
            <w:vMerge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vMerge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/>
            <w:tcBorders>
              <w:left w:val="nil"/>
            </w:tcBorders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  <w:r w:rsidRPr="00675B0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4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Recursos Propios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100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9282" w:type="dxa"/>
            <w:gridSpan w:val="4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675B04">
              <w:rPr>
                <w:rFonts w:ascii="Arial" w:hAnsi="Arial" w:cs="Arial"/>
                <w:b/>
                <w:color w:val="000000"/>
                <w:szCs w:val="18"/>
                <w:lang w:val="es-BO"/>
              </w:rPr>
              <w:t xml:space="preserve">(*) Aplica sólo para Consultores Individuales de Línea </w:t>
            </w:r>
            <w:r w:rsidRPr="00675B04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5B04" w:rsidRPr="00675B04" w:rsidTr="00500105">
        <w:trPr>
          <w:trHeight w:val="538"/>
          <w:jc w:val="center"/>
        </w:trPr>
        <w:tc>
          <w:tcPr>
            <w:tcW w:w="10346" w:type="dxa"/>
            <w:gridSpan w:val="4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75B04" w:rsidRPr="00675B04" w:rsidRDefault="00675B04" w:rsidP="0034330F">
            <w:pPr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lang w:val="es-BO" w:eastAsia="en-US"/>
              </w:rPr>
              <w:t>INFORMACIÓN DEL DOCUMENTO BASE DE CONTRATACIÓN (DBC</w:t>
            </w:r>
            <w:r w:rsidRPr="00675B04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 xml:space="preserve">) </w:t>
            </w:r>
          </w:p>
          <w:p w:rsidR="00675B04" w:rsidRPr="00675B04" w:rsidRDefault="00675B04" w:rsidP="00675B04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675B04">
              <w:rPr>
                <w:rFonts w:ascii="Arial" w:hAnsi="Arial" w:cs="Arial"/>
                <w:b/>
                <w:color w:val="FFFFFF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tabs>
                <w:tab w:val="left" w:pos="804"/>
              </w:tabs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Edificio Principal del BCB, ubicado en la Calle Ayacucho esquina Mercado. La Paz – Bolivia</w:t>
            </w: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FF"/>
                <w:sz w:val="18"/>
                <w:lang w:val="es-BO" w:eastAsia="es-BO"/>
              </w:rPr>
              <w:t>De horas 08:30 a horas 18:30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38" w:type="dxa"/>
            <w:gridSpan w:val="13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675B04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301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675B0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75" w:type="dxa"/>
            <w:gridSpan w:val="10"/>
            <w:shd w:val="clear" w:color="auto" w:fill="auto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675B04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Encargado de atender consultas Administrativas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Yerko Palacios Téllez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Profesional en Compras y Contrataciones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Dpto. de Compras y Contrataciones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trHeight w:val="85"/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Neyda Velasco Monrroy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Analista de Seguridad Laboral y Ambiental 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Subgerencia de gestión de Riesgos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1519" w:type="dxa"/>
            <w:gridSpan w:val="5"/>
            <w:tcBorders>
              <w:left w:val="single" w:sz="12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92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 xml:space="preserve">2409090 Internos </w:t>
            </w:r>
          </w:p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4721 (Consultas Administrativas)</w:t>
            </w: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4576 (Consultas Técnicas)</w:t>
            </w:r>
            <w:r w:rsidRPr="00675B04">
              <w:rPr>
                <w:rFonts w:ascii="Arial" w:hAnsi="Arial" w:cs="Arial"/>
                <w:color w:val="0000FF"/>
                <w:sz w:val="18"/>
              </w:rPr>
              <w:t>  </w:t>
            </w:r>
          </w:p>
        </w:tc>
        <w:tc>
          <w:tcPr>
            <w:tcW w:w="483" w:type="dxa"/>
            <w:gridSpan w:val="3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bCs/>
                <w:color w:val="0000FF"/>
                <w:sz w:val="18"/>
              </w:rPr>
              <w:t>2664790</w:t>
            </w:r>
          </w:p>
        </w:tc>
        <w:tc>
          <w:tcPr>
            <w:tcW w:w="1038" w:type="dxa"/>
            <w:gridSpan w:val="6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092" w:type="dxa"/>
            <w:gridSpan w:val="1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lang w:eastAsia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 xml:space="preserve">ypalacios@bcb.gob.bo  (consultas administrativas) </w:t>
            </w:r>
          </w:p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color w:val="000000"/>
                <w:sz w:val="18"/>
                <w:lang w:eastAsia="es-BO"/>
              </w:rPr>
              <w:t>nvelasco@bcb.gob.bo (Consultas técnicas</w:t>
            </w:r>
            <w:r w:rsidRPr="00675B04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244061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75B04" w:rsidRPr="00675B04" w:rsidTr="00500105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675B04" w:rsidRPr="00675B04" w:rsidRDefault="00675B04" w:rsidP="00675B04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675B04" w:rsidRPr="00675B04" w:rsidRDefault="00675B04" w:rsidP="00675B04">
      <w:pPr>
        <w:jc w:val="both"/>
        <w:rPr>
          <w:sz w:val="18"/>
          <w:lang w:val="es-BO"/>
        </w:rPr>
      </w:pPr>
    </w:p>
    <w:p w:rsidR="00675B04" w:rsidRDefault="00675B04" w:rsidP="00675B04">
      <w:pPr>
        <w:jc w:val="both"/>
        <w:rPr>
          <w:sz w:val="18"/>
          <w:lang w:val="es-BO"/>
        </w:rPr>
      </w:pPr>
    </w:p>
    <w:p w:rsidR="00675B04" w:rsidRPr="00675B04" w:rsidRDefault="00675B04" w:rsidP="00675B04">
      <w:pPr>
        <w:jc w:val="both"/>
        <w:rPr>
          <w:sz w:val="18"/>
          <w:lang w:val="es-BO"/>
        </w:rPr>
      </w:pPr>
    </w:p>
    <w:p w:rsidR="00675B04" w:rsidRPr="00675B04" w:rsidRDefault="00675B04" w:rsidP="00675B04">
      <w:pPr>
        <w:jc w:val="both"/>
        <w:rPr>
          <w:sz w:val="18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75B04" w:rsidRPr="00675B04" w:rsidTr="0034330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75B04">
              <w:rPr>
                <w:sz w:val="18"/>
                <w:lang w:val="es-BO"/>
              </w:rPr>
              <w:lastRenderedPageBreak/>
              <w:tab/>
            </w:r>
            <w:r w:rsidRPr="00675B04">
              <w:rPr>
                <w:color w:val="FFFFFF"/>
                <w:sz w:val="18"/>
                <w:szCs w:val="18"/>
                <w:lang w:val="es-BO"/>
              </w:rPr>
              <w:br w:type="page"/>
            </w:r>
            <w:r w:rsidRPr="00675B0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675B04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75B04" w:rsidRPr="00675B04" w:rsidTr="0034330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75B04" w:rsidRPr="00675B04" w:rsidRDefault="00675B04" w:rsidP="00675B04">
            <w:pPr>
              <w:ind w:right="113"/>
              <w:jc w:val="both"/>
              <w:rPr>
                <w:sz w:val="18"/>
                <w:lang w:val="es-BO"/>
              </w:rPr>
            </w:pPr>
            <w:r w:rsidRPr="00675B04">
              <w:rPr>
                <w:sz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675B04" w:rsidRPr="00675B04" w:rsidRDefault="00675B04" w:rsidP="0034330F">
            <w:pPr>
              <w:numPr>
                <w:ilvl w:val="2"/>
                <w:numId w:val="8"/>
              </w:numPr>
              <w:tabs>
                <w:tab w:val="num" w:pos="85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75B04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675B04" w:rsidRPr="00675B04" w:rsidRDefault="00675B04" w:rsidP="0034330F">
            <w:pPr>
              <w:numPr>
                <w:ilvl w:val="2"/>
                <w:numId w:val="8"/>
              </w:numPr>
              <w:tabs>
                <w:tab w:val="num" w:pos="58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75B04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675B04" w:rsidRPr="00675B04" w:rsidRDefault="00675B04" w:rsidP="00675B04">
            <w:pPr>
              <w:ind w:left="510" w:right="113"/>
              <w:jc w:val="both"/>
              <w:rPr>
                <w:lang w:val="es-BO" w:eastAsia="en-US"/>
              </w:rPr>
            </w:pPr>
          </w:p>
          <w:p w:rsidR="00675B04" w:rsidRPr="00675B04" w:rsidRDefault="00675B04" w:rsidP="00675B04">
            <w:pPr>
              <w:ind w:right="113"/>
              <w:jc w:val="both"/>
              <w:rPr>
                <w:sz w:val="18"/>
                <w:lang w:val="es-BO"/>
              </w:rPr>
            </w:pPr>
            <w:r w:rsidRPr="00675B04">
              <w:rPr>
                <w:b/>
                <w:sz w:val="18"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675B04" w:rsidRPr="00675B04" w:rsidTr="0034330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75B04" w:rsidRPr="00675B04" w:rsidRDefault="00675B04" w:rsidP="00675B04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675B04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75B04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675B04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0334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</w:rPr>
              <w:t xml:space="preserve">Ventanilla Única de Correspondencia – PB del Edificio del BCB, ubicado en el Calle Ayacucho esq. Mercado, La Paz- Bolivia. Nota dirigida al </w:t>
            </w:r>
            <w:r w:rsidR="0003346F" w:rsidRPr="0003346F">
              <w:rPr>
                <w:rFonts w:ascii="Arial" w:hAnsi="Arial" w:cs="Arial"/>
                <w:sz w:val="14"/>
                <w:szCs w:val="14"/>
              </w:rPr>
              <w:t>Subgerente de Servicios Generales (RPA)</w:t>
            </w:r>
            <w:bookmarkStart w:id="2" w:name="_GoBack"/>
            <w:bookmarkEnd w:id="2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675B04" w:rsidRPr="00675B04" w:rsidRDefault="00675B04" w:rsidP="00675B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Apertura de Propuestas:</w:t>
            </w:r>
          </w:p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4"/>
                <w:szCs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3433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675B04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5B0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D27765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75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675B04" w:rsidRPr="00675B04" w:rsidTr="003433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5B04" w:rsidRPr="00675B04" w:rsidRDefault="00675B04" w:rsidP="00675B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B04" w:rsidRPr="00675B04" w:rsidRDefault="00675B04" w:rsidP="00675B0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0"/>
      <w:bookmarkEnd w:id="1"/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C15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3346F"/>
    <w:rsid w:val="00046486"/>
    <w:rsid w:val="000A526C"/>
    <w:rsid w:val="000E21F4"/>
    <w:rsid w:val="000F6315"/>
    <w:rsid w:val="001B1BEF"/>
    <w:rsid w:val="00204BBD"/>
    <w:rsid w:val="002869AB"/>
    <w:rsid w:val="00320D38"/>
    <w:rsid w:val="0034330F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75B04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380F"/>
    <w:rsid w:val="00CA606D"/>
    <w:rsid w:val="00CD0A43"/>
    <w:rsid w:val="00D27765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675B04"/>
  </w:style>
  <w:style w:type="table" w:customStyle="1" w:styleId="Tablaconcuadrcula10">
    <w:name w:val="Tabla con cuadrícula10"/>
    <w:basedOn w:val="Tablanormal"/>
    <w:next w:val="Tablaconcuadrcula"/>
    <w:uiPriority w:val="39"/>
    <w:rsid w:val="0067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adeldocumentoCar">
    <w:name w:val="Mapa del documento Car"/>
    <w:link w:val="Mapadeldocumento"/>
    <w:uiPriority w:val="99"/>
    <w:semiHidden/>
    <w:rsid w:val="00675B0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B04"/>
    <w:pPr>
      <w:jc w:val="both"/>
    </w:pPr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75B0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675B04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customStyle="1" w:styleId="SAUL">
    <w:name w:val="SAUL"/>
    <w:basedOn w:val="Normal"/>
    <w:qFormat/>
    <w:rsid w:val="00675B04"/>
    <w:pPr>
      <w:jc w:val="both"/>
    </w:pPr>
    <w:rPr>
      <w:sz w:val="18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675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numbering" w:customStyle="1" w:styleId="Sinlista13">
    <w:name w:val="Sin lista13"/>
    <w:next w:val="Sinlista"/>
    <w:uiPriority w:val="99"/>
    <w:semiHidden/>
    <w:unhideWhenUsed/>
    <w:rsid w:val="00675B04"/>
  </w:style>
  <w:style w:type="table" w:customStyle="1" w:styleId="Tablaconcuadrcula10">
    <w:name w:val="Tabla con cuadrícula10"/>
    <w:basedOn w:val="Tablanormal"/>
    <w:next w:val="Tablaconcuadrcula"/>
    <w:uiPriority w:val="39"/>
    <w:rsid w:val="0067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adeldocumentoCar">
    <w:name w:val="Mapa del documento Car"/>
    <w:link w:val="Mapadeldocumento"/>
    <w:uiPriority w:val="99"/>
    <w:semiHidden/>
    <w:rsid w:val="00675B0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B04"/>
    <w:pPr>
      <w:jc w:val="both"/>
    </w:pPr>
    <w:rPr>
      <w:rFonts w:ascii="Tahoma" w:eastAsiaTheme="minorHAns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75B0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675B04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customStyle="1" w:styleId="SAUL">
    <w:name w:val="SAUL"/>
    <w:basedOn w:val="Normal"/>
    <w:qFormat/>
    <w:rsid w:val="00675B04"/>
    <w:pPr>
      <w:jc w:val="both"/>
    </w:pPr>
    <w:rPr>
      <w:sz w:val="18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675B0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675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2019-07-10T15:13:00Z</dcterms:created>
  <dcterms:modified xsi:type="dcterms:W3CDTF">2019-07-10T21:20:00Z</dcterms:modified>
</cp:coreProperties>
</file>