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335"/>
        <w:gridCol w:w="796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114"/>
        <w:gridCol w:w="209"/>
        <w:gridCol w:w="169"/>
        <w:gridCol w:w="150"/>
        <w:gridCol w:w="160"/>
        <w:gridCol w:w="158"/>
        <w:gridCol w:w="356"/>
        <w:gridCol w:w="41"/>
        <w:gridCol w:w="31"/>
        <w:gridCol w:w="163"/>
        <w:gridCol w:w="30"/>
        <w:gridCol w:w="73"/>
        <w:gridCol w:w="87"/>
        <w:gridCol w:w="41"/>
        <w:gridCol w:w="240"/>
        <w:gridCol w:w="215"/>
        <w:gridCol w:w="194"/>
        <w:gridCol w:w="107"/>
        <w:gridCol w:w="53"/>
        <w:gridCol w:w="130"/>
        <w:gridCol w:w="50"/>
        <w:gridCol w:w="58"/>
        <w:gridCol w:w="52"/>
        <w:gridCol w:w="56"/>
        <w:gridCol w:w="253"/>
        <w:gridCol w:w="97"/>
        <w:gridCol w:w="331"/>
        <w:gridCol w:w="330"/>
        <w:gridCol w:w="330"/>
        <w:gridCol w:w="208"/>
        <w:gridCol w:w="180"/>
        <w:gridCol w:w="296"/>
        <w:gridCol w:w="183"/>
        <w:gridCol w:w="252"/>
        <w:gridCol w:w="56"/>
        <w:gridCol w:w="662"/>
      </w:tblGrid>
      <w:tr w:rsidR="00BF407F" w:rsidRPr="00673E6A" w:rsidTr="00BD36C9">
        <w:trPr>
          <w:gridBefore w:val="2"/>
          <w:wBefore w:w="671" w:type="dxa"/>
          <w:trHeight w:val="136"/>
          <w:jc w:val="center"/>
        </w:trPr>
        <w:tc>
          <w:tcPr>
            <w:tcW w:w="9314" w:type="dxa"/>
            <w:gridSpan w:val="5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573" w:type="dxa"/>
              <w:tblInd w:w="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8799"/>
            </w:tblGrid>
            <w:tr w:rsidR="00BF407F" w:rsidRPr="00673E6A" w:rsidTr="00BD36C9">
              <w:trPr>
                <w:trHeight w:val="1260"/>
              </w:trPr>
              <w:tc>
                <w:tcPr>
                  <w:tcW w:w="177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44000490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BD36C9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BD36C9" w:rsidRPr="00BD36C9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 - P N° 074/2016-1C</w:t>
                  </w:r>
                  <w:r w:rsidR="00BD36C9" w:rsidRPr="00BD36C9">
                    <w:rPr>
                      <w:rFonts w:ascii="Arial" w:hAnsi="Arial" w:cs="Arial"/>
                      <w:color w:val="FFFFFF"/>
                      <w:sz w:val="24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63"/>
        </w:trPr>
        <w:tc>
          <w:tcPr>
            <w:tcW w:w="9323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70"/>
        </w:trPr>
        <w:tc>
          <w:tcPr>
            <w:tcW w:w="9323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46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73"/>
        </w:trPr>
        <w:tc>
          <w:tcPr>
            <w:tcW w:w="2692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8A513B" w:rsidTr="00BD36C9">
        <w:tblPrEx>
          <w:jc w:val="left"/>
        </w:tblPrEx>
        <w:trPr>
          <w:gridAfter w:val="1"/>
          <w:wAfter w:w="662" w:type="dxa"/>
          <w:trHeight w:val="400"/>
        </w:trPr>
        <w:tc>
          <w:tcPr>
            <w:tcW w:w="26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8A513B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8A513B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92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1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BD36C9" w:rsidRPr="008A513B" w:rsidTr="00D303AF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BD36C9" w:rsidRPr="00170D7D" w:rsidRDefault="00BD36C9" w:rsidP="00D303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BD36C9" w:rsidRPr="008A513B" w:rsidRDefault="00BD36C9" w:rsidP="00D303AF">
                  <w:pPr>
                    <w:snapToGrid w:val="0"/>
                    <w:rPr>
                      <w:rFonts w:ascii="Arial" w:hAnsi="Arial" w:cs="Arial"/>
                      <w:sz w:val="10"/>
                      <w:lang w:eastAsia="es-BO"/>
                    </w:rPr>
                  </w:pPr>
                </w:p>
              </w:tc>
            </w:tr>
          </w:tbl>
          <w:p w:rsidR="00BD36C9" w:rsidRPr="008A513B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87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 xml:space="preserve">ANPE - P N°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074</w:t>
            </w: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/2016-1C</w:t>
            </w:r>
          </w:p>
        </w:tc>
        <w:tc>
          <w:tcPr>
            <w:tcW w:w="534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82125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79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D36C9" w:rsidRPr="008F2DD2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 w:rsidRPr="007C731A">
              <w:rPr>
                <w:rFonts w:ascii="Arial" w:hAnsi="Arial" w:cs="Arial"/>
                <w:b/>
                <w:bCs/>
                <w:color w:val="0000FF"/>
                <w:lang w:val="es-MX" w:eastAsia="es-BO"/>
              </w:rPr>
              <w:t>PROVISIÓN E INSTALACION DE CUATRO CAMARAS PTZ, UN SISTEMA DE ALMACENAMIENTO EN RED Y UN SERVIDOR DE DATOS QUE INTEGRE LA TOTALIDAD DE CAMARAS EXISTENTES EN EL BCB</w:t>
            </w:r>
            <w:r w:rsidRPr="007C731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 </w:t>
            </w:r>
            <w:r w:rsidRPr="008F2DD2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05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624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1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8F2DD2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31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D36C9" w:rsidRPr="008F2DD2" w:rsidRDefault="00BD36C9" w:rsidP="00D303AF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8F2DD2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7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82125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170D7D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8F2DD2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60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531E7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8F2DD2" w:rsidRDefault="00BD36C9" w:rsidP="00D303A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Bs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773.478</w:t>
            </w: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53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7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75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BD36C9" w:rsidRPr="00170D7D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1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D36C9" w:rsidRPr="00705443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BD36C9" w:rsidRPr="00705443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41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531E7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329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que sea contratado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EE0FF0" w:rsidTr="00BD36C9">
        <w:tblPrEx>
          <w:jc w:val="left"/>
        </w:tblPrEx>
        <w:trPr>
          <w:gridAfter w:val="1"/>
          <w:wAfter w:w="662" w:type="dxa"/>
          <w:trHeight w:val="56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EE0FF0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D36C9" w:rsidRPr="00EE0FF0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D36C9" w:rsidRPr="00EE0FF0" w:rsidRDefault="00BD36C9" w:rsidP="00D303AF">
            <w:pPr>
              <w:snapToGrid w:val="0"/>
              <w:jc w:val="both"/>
              <w:rPr>
                <w:rFonts w:ascii="Arial" w:hAnsi="Arial" w:cs="Arial"/>
                <w:sz w:val="2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2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329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300559" w:rsidRDefault="00BD36C9" w:rsidP="00D303AF">
            <w:pPr>
              <w:pStyle w:val="Default"/>
              <w:jc w:val="right"/>
            </w:pPr>
            <w:r>
              <w:rPr>
                <w:b/>
                <w:bCs/>
                <w:sz w:val="16"/>
                <w:szCs w:val="16"/>
              </w:rPr>
              <w:t>Garantía de Funcionamiento de Maquinaria y/o Equipo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6C9" w:rsidRPr="00300559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BD36C9" w:rsidRPr="00300559" w:rsidRDefault="00BD36C9" w:rsidP="00D303AF">
            <w:pPr>
              <w:pStyle w:val="Default"/>
              <w:jc w:val="both"/>
            </w:pPr>
            <w:r>
              <w:rPr>
                <w:sz w:val="16"/>
                <w:szCs w:val="16"/>
              </w:rPr>
              <w:t xml:space="preserve">El proveedor deberá constituir la Garantía de Funcionamiento de Maquinaria y/o Equipo que será hasta un máximo del 1.5% del monto del contrato o a solicitud del proveedor se podrá efectuar una retención del monto equivalente a la garantía solicitada. 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37341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37341" w:rsidRDefault="00BD36C9" w:rsidP="00D303A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9" w:type="dxa"/>
            <w:gridSpan w:val="3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D36C9" w:rsidRPr="00637341" w:rsidRDefault="00BD36C9" w:rsidP="00D303AF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79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37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18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531E7A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6C9" w:rsidRPr="00531E7A" w:rsidRDefault="00BD36C9" w:rsidP="00D303A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531E7A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1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901B07" w:rsidRDefault="00BD36C9" w:rsidP="00D303AF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27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D20B16" w:rsidRDefault="00BD36C9" w:rsidP="00D303AF">
            <w:pPr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 xml:space="preserve">El proponente deberá entregar los bienes en un plazo </w:t>
            </w:r>
            <w:r>
              <w:rPr>
                <w:rFonts w:ascii="Arial" w:hAnsi="Arial" w:cs="Arial"/>
                <w:bCs/>
                <w:lang w:eastAsia="zh-CN"/>
              </w:rPr>
              <w:t>de hasta</w:t>
            </w:r>
            <w:r w:rsidRPr="006229AC">
              <w:rPr>
                <w:rFonts w:ascii="Arial" w:hAnsi="Arial" w:cs="Arial"/>
                <w:bCs/>
                <w:lang w:eastAsia="zh-CN"/>
              </w:rPr>
              <w:t xml:space="preserve"> (</w:t>
            </w:r>
            <w:r>
              <w:rPr>
                <w:rFonts w:ascii="Arial" w:hAnsi="Arial" w:cs="Arial"/>
                <w:bCs/>
                <w:lang w:eastAsia="zh-CN"/>
              </w:rPr>
              <w:t>45</w:t>
            </w:r>
            <w:r w:rsidRPr="006229AC">
              <w:rPr>
                <w:rFonts w:ascii="Arial" w:hAnsi="Arial" w:cs="Arial"/>
                <w:bCs/>
                <w:lang w:eastAsia="zh-CN"/>
              </w:rPr>
              <w:t>) días calendario</w:t>
            </w:r>
            <w:r>
              <w:rPr>
                <w:rFonts w:ascii="Arial" w:hAnsi="Arial" w:cs="Arial"/>
                <w:bCs/>
                <w:lang w:eastAsia="zh-CN"/>
              </w:rPr>
              <w:t xml:space="preserve"> a partir del primer día hábil posterior a la firma de contrato</w:t>
            </w:r>
            <w:r w:rsidRPr="006229AC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D36C9" w:rsidRPr="00637341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36C9" w:rsidRPr="00637341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531E7A" w:rsidRDefault="00BD36C9" w:rsidP="00D303AF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 xml:space="preserve">Los bienes </w:t>
            </w:r>
            <w:r>
              <w:rPr>
                <w:rFonts w:ascii="Arial" w:hAnsi="Arial" w:cs="Arial"/>
                <w:bCs/>
                <w:lang w:eastAsia="zh-CN"/>
              </w:rPr>
              <w:t>deben ser entregados por el proveedor en la Unidad de Activos Fijos en el piso N° 5 del Edificio Principal del BCB.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7"/>
        </w:trPr>
        <w:tc>
          <w:tcPr>
            <w:tcW w:w="2692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6"/>
        </w:trPr>
        <w:tc>
          <w:tcPr>
            <w:tcW w:w="2692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A21579" w:rsidRDefault="00BD36C9" w:rsidP="00D303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36C9" w:rsidRPr="00673E6A" w:rsidRDefault="00BD36C9" w:rsidP="00BD36C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BD36C9" w:rsidRPr="00D522B4" w:rsidRDefault="00BD36C9" w:rsidP="00D303A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D36C9" w:rsidRPr="00665EB3" w:rsidTr="00BD36C9">
        <w:tblPrEx>
          <w:jc w:val="left"/>
        </w:tblPrEx>
        <w:trPr>
          <w:gridAfter w:val="1"/>
          <w:wAfter w:w="662" w:type="dxa"/>
          <w:trHeight w:val="50"/>
        </w:trPr>
        <w:tc>
          <w:tcPr>
            <w:tcW w:w="2692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6C9" w:rsidRPr="00637341" w:rsidRDefault="00BD36C9" w:rsidP="00D303AF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95"/>
        </w:trPr>
        <w:tc>
          <w:tcPr>
            <w:tcW w:w="2692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6C9" w:rsidRPr="00673E6A" w:rsidRDefault="00BD36C9" w:rsidP="00BD36C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3" w:type="dxa"/>
            <w:gridSpan w:val="37"/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692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6C9" w:rsidRPr="00673E6A" w:rsidRDefault="00BD36C9" w:rsidP="00BD36C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2"/>
        </w:trPr>
        <w:tc>
          <w:tcPr>
            <w:tcW w:w="9015" w:type="dxa"/>
            <w:gridSpan w:val="5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12"/>
        </w:trPr>
        <w:tc>
          <w:tcPr>
            <w:tcW w:w="9015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6"/>
        </w:trPr>
        <w:tc>
          <w:tcPr>
            <w:tcW w:w="9323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6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56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9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6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8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66" w:type="dxa"/>
            <w:gridSpan w:val="6"/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13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414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BD36C9" w:rsidRPr="00105C71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Fernando Ayllon Hurtado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105C71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105C71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Subgerente de Gestión de Riesgos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105C71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105C71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>Gerencia General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71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F05DBB" w:rsidRDefault="00BD36C9" w:rsidP="00D303A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27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1"/>
          <w:wAfter w:w="662" w:type="dxa"/>
          <w:trHeight w:val="702"/>
        </w:trPr>
        <w:tc>
          <w:tcPr>
            <w:tcW w:w="1467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4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36C9" w:rsidRPr="008A513B" w:rsidRDefault="00BD36C9" w:rsidP="00D303A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BD36C9" w:rsidRPr="00731DF6" w:rsidRDefault="00BD36C9" w:rsidP="00D303A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27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Administrativas)</w:t>
            </w:r>
          </w:p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4582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4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36C9" w:rsidRPr="008A513B" w:rsidRDefault="00BD36C9" w:rsidP="00D303A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80593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ypalacios@bcb.gob.bo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BD36C9" w:rsidRPr="00731DF6" w:rsidRDefault="00BD36C9" w:rsidP="00D303A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</w:t>
            </w:r>
            <w:r w:rsidRPr="00731DF6">
              <w:rPr>
                <w:rFonts w:ascii="Arial" w:hAnsi="Arial" w:cs="Arial"/>
                <w:sz w:val="14"/>
                <w:szCs w:val="14"/>
                <w:lang w:val="pt-BR" w:eastAsia="es-BO"/>
              </w:rPr>
              <w:t>Consultas Administrativas)</w:t>
            </w:r>
          </w:p>
          <w:p w:rsidR="00BD36C9" w:rsidRPr="0099177C" w:rsidRDefault="00BD36C9" w:rsidP="00D303AF">
            <w:pPr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99177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vayllon@bcb.gob.bo</w:t>
            </w:r>
          </w:p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D36C9" w:rsidRPr="00665EB3" w:rsidTr="00BD36C9">
        <w:tblPrEx>
          <w:jc w:val="left"/>
        </w:tblPrEx>
        <w:trPr>
          <w:gridAfter w:val="1"/>
          <w:wAfter w:w="662" w:type="dxa"/>
          <w:trHeight w:val="22"/>
        </w:trPr>
        <w:tc>
          <w:tcPr>
            <w:tcW w:w="9323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6C9" w:rsidRPr="00665EB3" w:rsidRDefault="00BD36C9" w:rsidP="00D303AF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48"/>
        </w:trPr>
        <w:tc>
          <w:tcPr>
            <w:tcW w:w="9267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84"/>
        </w:trPr>
        <w:tc>
          <w:tcPr>
            <w:tcW w:w="9267" w:type="dxa"/>
            <w:gridSpan w:val="5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67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48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48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D36C9" w:rsidRPr="00673E6A" w:rsidRDefault="00BD36C9" w:rsidP="00D303AF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17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8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23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6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27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B21AE6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C9" w:rsidRPr="00EE0FF0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D36C9" w:rsidRPr="00EE0FF0" w:rsidRDefault="00BD36C9" w:rsidP="00D303AF">
            <w:pPr>
              <w:pStyle w:val="Textoindependiente3"/>
              <w:spacing w:after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21AE6">
              <w:rPr>
                <w:rFonts w:ascii="Arial" w:hAnsi="Arial" w:cs="Arial"/>
              </w:rPr>
              <w:t xml:space="preserve">Piso 5, Edif. Principal del BCB ubicado en la Calle Ayacucho esq. Mercado (Responsable de la </w:t>
            </w:r>
            <w:r w:rsidRPr="00374110">
              <w:rPr>
                <w:rFonts w:ascii="Arial" w:hAnsi="Arial" w:cs="Arial"/>
              </w:rPr>
              <w:t>Inspección Previa: Fernando Ayllon del Dpto. de</w:t>
            </w:r>
            <w:r>
              <w:rPr>
                <w:rFonts w:ascii="Arial" w:hAnsi="Arial" w:cs="Arial"/>
              </w:rPr>
              <w:t xml:space="preserve"> Seguridad y Contingencias</w:t>
            </w:r>
            <w:r w:rsidRPr="00374110">
              <w:rPr>
                <w:rFonts w:ascii="Arial" w:hAnsi="Arial" w:cs="Arial"/>
              </w:rPr>
              <w:t xml:space="preserve"> – Tel. 2409090, int.4582</w:t>
            </w:r>
            <w:r>
              <w:rPr>
                <w:rFonts w:ascii="Arial" w:hAnsi="Arial" w:cs="Arial"/>
              </w:rPr>
              <w:t>)</w:t>
            </w:r>
            <w:r w:rsidRPr="00374110">
              <w:rPr>
                <w:rFonts w:ascii="Arial" w:hAnsi="Arial" w:cs="Arial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6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</w:t>
            </w:r>
            <w:r w:rsidRPr="00B21AE6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B21AE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21AE6">
              <w:rPr>
                <w:rFonts w:ascii="Arial" w:hAnsi="Arial" w:cs="Arial"/>
                <w:color w:val="000000"/>
                <w:lang w:val="es-BO" w:eastAsia="es-BO"/>
              </w:rPr>
              <w:t>Planta Baja, Ventanilla Única de Correspondencia del Edif. Principal del BCB, o vía fax o correo electrónico (Nota dirigida a la Gerencia de Administración</w:t>
            </w:r>
            <w:r w:rsidRPr="00B21AE6">
              <w:t xml:space="preserve"> </w:t>
            </w:r>
            <w:r w:rsidRPr="00B21AE6">
              <w:rPr>
                <w:rFonts w:ascii="Arial" w:hAnsi="Arial" w:cs="Arial"/>
                <w:color w:val="000000"/>
                <w:lang w:val="es-BO" w:eastAsia="es-BO"/>
              </w:rPr>
              <w:t>- RPA)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4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544EB">
              <w:rPr>
                <w:rFonts w:ascii="Arial" w:hAnsi="Arial" w:cs="Arial"/>
                <w:color w:val="0000FF"/>
                <w:lang w:val="es-BO" w:eastAsia="es-BO"/>
              </w:rPr>
              <w:t>30.12.2016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544EB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EE0FF0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D36C9" w:rsidRPr="00EE0FF0" w:rsidRDefault="00BD36C9" w:rsidP="00D303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544EB">
              <w:rPr>
                <w:rFonts w:ascii="Arial" w:hAnsi="Arial" w:cs="Arial"/>
                <w:color w:val="000000"/>
                <w:lang w:val="es-BO" w:eastAsia="es-BO"/>
              </w:rPr>
              <w:t>Piso 7, Edif. Principal del BCB.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42407E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42407E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104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48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1.201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1D5662" w:rsidRDefault="00BD36C9" w:rsidP="00D303A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8A513B" w:rsidRDefault="00BD36C9" w:rsidP="00D303A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BD36C9" w:rsidRPr="008A513B" w:rsidRDefault="00BD36C9" w:rsidP="00D303A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BD36C9" w:rsidRPr="008A513B" w:rsidRDefault="00BD36C9" w:rsidP="00D303A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D36C9" w:rsidRPr="008A513B" w:rsidRDefault="00BD36C9" w:rsidP="00D303A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BD36C9" w:rsidRPr="001D5662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7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02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D36C9" w:rsidRPr="001D5662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hideMark/>
          </w:tcPr>
          <w:p w:rsidR="00BD36C9" w:rsidRPr="001D5662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D566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3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D36C9" w:rsidRPr="00673E6A" w:rsidTr="00BD36C9">
        <w:tblPrEx>
          <w:jc w:val="left"/>
        </w:tblPrEx>
        <w:trPr>
          <w:gridAfter w:val="2"/>
          <w:wAfter w:w="718" w:type="dxa"/>
          <w:trHeight w:val="66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C9" w:rsidRPr="00673E6A" w:rsidRDefault="00BD36C9" w:rsidP="00D303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D36C9" w:rsidRPr="002A5F92" w:rsidRDefault="00BD36C9" w:rsidP="00D303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30274A">
              <w:rPr>
                <w:rFonts w:ascii="Arial" w:hAnsi="Arial" w:cs="Arial"/>
                <w:color w:val="0000FF"/>
                <w:lang w:val="es-BO" w:eastAsia="es-BO"/>
              </w:rPr>
              <w:t>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:rsidR="00BD36C9" w:rsidRPr="002A5F92" w:rsidRDefault="00BD36C9" w:rsidP="00D303AF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D36C9" w:rsidRPr="00673E6A" w:rsidRDefault="00BD36C9" w:rsidP="00D303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BD36C9">
      <w:pPr>
        <w:ind w:left="-851"/>
        <w:jc w:val="both"/>
        <w:rPr>
          <w:rFonts w:cs="Arial"/>
          <w:sz w:val="18"/>
          <w:szCs w:val="18"/>
        </w:rPr>
      </w:pPr>
    </w:p>
    <w:p w:rsidR="00BD36C9" w:rsidRPr="00A67052" w:rsidRDefault="00BD36C9" w:rsidP="00BD36C9">
      <w:pPr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</w:p>
    <w:p w:rsidR="00BD36C9" w:rsidRDefault="00BD36C9" w:rsidP="00A67052">
      <w:pPr>
        <w:ind w:left="-851"/>
        <w:jc w:val="both"/>
        <w:rPr>
          <w:rFonts w:cs="Arial"/>
          <w:sz w:val="18"/>
          <w:szCs w:val="18"/>
        </w:rPr>
      </w:pPr>
      <w:bookmarkStart w:id="0" w:name="_GoBack"/>
      <w:bookmarkEnd w:id="0"/>
    </w:p>
    <w:sectPr w:rsidR="00BD3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D36C9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BD3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BD3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2016-12-23T16:15:00Z</dcterms:created>
  <dcterms:modified xsi:type="dcterms:W3CDTF">2016-12-23T16:15:00Z</dcterms:modified>
</cp:coreProperties>
</file>