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C01FEB" w:rsidRDefault="00382D71" w:rsidP="00382D71">
      <w:pPr>
        <w:pStyle w:val="Puesto"/>
        <w:spacing w:before="0" w:after="0"/>
        <w:rPr>
          <w:rFonts w:ascii="Verdana" w:hAnsi="Verdana"/>
          <w:sz w:val="24"/>
          <w:szCs w:val="24"/>
          <w:lang w:val="es-ES"/>
        </w:rPr>
      </w:pPr>
      <w:bookmarkStart w:id="0" w:name="_Toc94724712"/>
      <w:r w:rsidRPr="00C01FEB">
        <w:rPr>
          <w:rFonts w:ascii="Verdana" w:hAnsi="Verdana"/>
          <w:sz w:val="24"/>
          <w:szCs w:val="24"/>
          <w:lang w:val="es-ES"/>
        </w:rPr>
        <w:t>CONVOCATORIA</w:t>
      </w:r>
    </w:p>
    <w:p w:rsidR="00382D71" w:rsidRPr="00C01FEB" w:rsidRDefault="00382D71" w:rsidP="00382D71">
      <w:pPr>
        <w:pStyle w:val="Puesto"/>
        <w:spacing w:before="0" w:after="0"/>
        <w:rPr>
          <w:rFonts w:ascii="Verdana" w:hAnsi="Verdana"/>
          <w:sz w:val="24"/>
          <w:szCs w:val="24"/>
          <w:lang w:val="es-ES"/>
        </w:rPr>
      </w:pPr>
    </w:p>
    <w:p w:rsidR="00C01FEB" w:rsidRDefault="00C01FEB" w:rsidP="00C01FEB">
      <w:pPr>
        <w:pStyle w:val="Puesto"/>
        <w:spacing w:before="0" w:after="0"/>
        <w:ind w:left="432"/>
        <w:jc w:val="both"/>
        <w:rPr>
          <w:rFonts w:ascii="Verdana" w:hAnsi="Verdana"/>
          <w:lang w:val="es-ES"/>
        </w:rPr>
      </w:pPr>
      <w:bookmarkStart w:id="1" w:name="_Toc94724713"/>
      <w:bookmarkEnd w:id="0"/>
      <w:r w:rsidRPr="00C01FEB">
        <w:rPr>
          <w:rFonts w:ascii="Arial" w:hAnsi="Arial"/>
          <w:sz w:val="24"/>
          <w:szCs w:val="24"/>
        </w:rPr>
        <w:t>SERVICIO DE SUSCRIPCIÓN PARA COPIAS DE RESPALDO</w:t>
      </w:r>
    </w:p>
    <w:p w:rsidR="00C01FEB" w:rsidRPr="00765F1B" w:rsidRDefault="00C01FEB" w:rsidP="00C01FEB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C01FEB" w:rsidRPr="00107068" w:rsidTr="006A4D53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01FEB" w:rsidRPr="00107068" w:rsidRDefault="00C01FEB" w:rsidP="00C01FEB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0706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C01FEB" w:rsidRPr="00107068" w:rsidTr="006A4D53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b/>
                <w:lang w:val="es-BO"/>
              </w:rPr>
            </w:pPr>
          </w:p>
        </w:tc>
      </w:tr>
      <w:tr w:rsidR="00C01FEB" w:rsidRPr="00107068" w:rsidTr="006A4D5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ANPE - C N°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107068">
              <w:rPr>
                <w:rFonts w:ascii="Arial" w:hAnsi="Arial" w:cs="Arial"/>
                <w:lang w:val="es-BO"/>
              </w:rPr>
              <w:t>021/2026-1C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C01FEB" w:rsidRPr="00107068" w:rsidTr="006A4D53">
        <w:trPr>
          <w:trHeight w:val="189"/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b/>
                <w:lang w:val="es-BO"/>
              </w:rPr>
              <w:t>SERVICIO DE SUSCRIPCIÓN PARA COPIAS DE RESPALDO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b/>
                <w:lang w:val="es-BO"/>
              </w:rPr>
              <w:t>Bs410.084,00 (Cuatrocientos diez mil ochenta y cuatro 00/100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3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both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Orden de Servicio </w:t>
            </w:r>
            <w:r w:rsidRPr="00107068">
              <w:rPr>
                <w:rFonts w:ascii="Arial" w:hAnsi="Arial" w:cs="Arial"/>
                <w:b/>
                <w:i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CF565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es-BO" w:eastAsia="es-BO"/>
              </w:rPr>
            </w:pPr>
            <w:r w:rsidRPr="00107068">
              <w:rPr>
                <w:rFonts w:ascii="Arial" w:hAnsi="Arial" w:cs="Arial"/>
                <w:b/>
                <w:bCs/>
                <w:iCs/>
                <w:sz w:val="16"/>
                <w:szCs w:val="16"/>
                <w:lang w:val="es-BO" w:eastAsia="es-BO"/>
              </w:rPr>
              <w:t>Plazo de prestación del Servicio:</w:t>
            </w:r>
            <w:r w:rsidRPr="00107068">
              <w:rPr>
                <w:rFonts w:ascii="Arial" w:hAnsi="Arial" w:cs="Arial"/>
                <w:bCs/>
                <w:iCs/>
                <w:sz w:val="16"/>
                <w:szCs w:val="16"/>
                <w:lang w:val="es-BO" w:eastAsia="es-BO"/>
              </w:rPr>
              <w:t xml:space="preserve"> El plazo de la prestación del servicio deberá ser de un (1) año calendario, computable a partir de la fecha establecida en la orden de proceder emitida por el Fiscal de Servicio.</w:t>
            </w:r>
          </w:p>
          <w:p w:rsidR="00C01FEB" w:rsidRPr="00107068" w:rsidRDefault="00C01FEB" w:rsidP="00CF565F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107068">
              <w:rPr>
                <w:rFonts w:ascii="Arial" w:hAnsi="Arial" w:cs="Arial"/>
                <w:b/>
                <w:bCs/>
                <w:iCs/>
                <w:sz w:val="16"/>
                <w:szCs w:val="16"/>
                <w:lang w:val="es-BO" w:eastAsia="es-BO"/>
              </w:rPr>
              <w:t>Plazo para la activación de la suscripción:</w:t>
            </w:r>
            <w:r w:rsidRPr="00107068">
              <w:rPr>
                <w:rFonts w:ascii="Arial" w:hAnsi="Arial" w:cs="Arial"/>
                <w:bCs/>
                <w:iCs/>
                <w:sz w:val="16"/>
                <w:szCs w:val="16"/>
                <w:lang w:val="es-BO" w:eastAsia="es-BO"/>
              </w:rPr>
              <w:t xml:space="preserve"> El proveedor deberá realizar la activación y configuración del servicio de suscripción de acuerdo a la fecha establecida en la orden de proceder emitida por el Fiscal de Servicio.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1136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F75762">
              <w:rPr>
                <w:rFonts w:ascii="Arial" w:hAnsi="Arial" w:cs="Arial"/>
                <w:bCs/>
                <w:iCs/>
                <w:lang w:val="es-BO" w:eastAsia="es-BO"/>
              </w:rPr>
              <w:t xml:space="preserve">El servicio será prestado en el Edificio Principal de la ENTIDAD ubicado en la calle Ayacucho esquina calle Mercado s/n de la Zona Central y en instalaciones del Sitio Alterno de Procesamiento (SAP), ubicado en </w:t>
            </w:r>
            <w:proofErr w:type="spellStart"/>
            <w:r w:rsidRPr="00F75762">
              <w:rPr>
                <w:rFonts w:ascii="Arial" w:hAnsi="Arial" w:cs="Arial"/>
                <w:bCs/>
                <w:iCs/>
                <w:lang w:val="es-BO" w:eastAsia="es-BO"/>
              </w:rPr>
              <w:t>Achumani</w:t>
            </w:r>
            <w:proofErr w:type="spellEnd"/>
            <w:r w:rsidRPr="00F75762">
              <w:rPr>
                <w:rFonts w:ascii="Arial" w:hAnsi="Arial" w:cs="Arial"/>
                <w:bCs/>
                <w:iCs/>
                <w:lang w:val="es-BO" w:eastAsia="es-BO"/>
              </w:rPr>
              <w:t xml:space="preserve"> calle Constantino Carrión  N° 26 de la Ciudad de La Paz - Bolivia.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604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107068">
              <w:rPr>
                <w:rFonts w:ascii="Arial" w:hAnsi="Arial" w:cs="Arial"/>
                <w:bCs/>
                <w:iCs/>
                <w:lang w:val="es-BO" w:eastAsia="es-BO"/>
              </w:rPr>
              <w:t>El proponente deberá presentar una Garantía equivalente al 1% del Precio Referencial de la Contratación.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139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iCs/>
                <w:lang w:val="es-BO" w:eastAsia="es-BO"/>
              </w:rPr>
              <w:t>El proponente adjudicado deberá constituir la garantía del cumplimiento de contrato del 7% o del 3.5% (según corresponda) del monto del contrato.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251"/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C01FEB" w:rsidRPr="00107068" w:rsidTr="006A4D5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107068">
              <w:rPr>
                <w:rFonts w:ascii="Arial" w:hAnsi="Arial" w:cs="Arial"/>
                <w:i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</w:tr>
      <w:tr w:rsidR="00C01FEB" w:rsidRPr="00107068" w:rsidTr="006A4D5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49"/>
        <w:gridCol w:w="236"/>
        <w:gridCol w:w="122"/>
        <w:gridCol w:w="75"/>
        <w:gridCol w:w="47"/>
        <w:gridCol w:w="150"/>
        <w:gridCol w:w="185"/>
        <w:gridCol w:w="90"/>
        <w:gridCol w:w="199"/>
        <w:gridCol w:w="79"/>
        <w:gridCol w:w="211"/>
        <w:gridCol w:w="57"/>
        <w:gridCol w:w="223"/>
        <w:gridCol w:w="52"/>
        <w:gridCol w:w="237"/>
        <w:gridCol w:w="34"/>
        <w:gridCol w:w="250"/>
        <w:gridCol w:w="25"/>
        <w:gridCol w:w="119"/>
        <w:gridCol w:w="145"/>
        <w:gridCol w:w="11"/>
        <w:gridCol w:w="272"/>
        <w:gridCol w:w="6"/>
        <w:gridCol w:w="267"/>
        <w:gridCol w:w="18"/>
        <w:gridCol w:w="255"/>
        <w:gridCol w:w="30"/>
        <w:gridCol w:w="240"/>
        <w:gridCol w:w="45"/>
        <w:gridCol w:w="225"/>
        <w:gridCol w:w="57"/>
        <w:gridCol w:w="212"/>
        <w:gridCol w:w="70"/>
        <w:gridCol w:w="200"/>
        <w:gridCol w:w="81"/>
        <w:gridCol w:w="189"/>
        <w:gridCol w:w="93"/>
        <w:gridCol w:w="177"/>
        <w:gridCol w:w="105"/>
        <w:gridCol w:w="165"/>
        <w:gridCol w:w="110"/>
        <w:gridCol w:w="7"/>
        <w:gridCol w:w="152"/>
        <w:gridCol w:w="130"/>
        <w:gridCol w:w="140"/>
        <w:gridCol w:w="141"/>
        <w:gridCol w:w="129"/>
        <w:gridCol w:w="153"/>
        <w:gridCol w:w="117"/>
        <w:gridCol w:w="165"/>
        <w:gridCol w:w="105"/>
        <w:gridCol w:w="177"/>
        <w:gridCol w:w="92"/>
        <w:gridCol w:w="190"/>
        <w:gridCol w:w="79"/>
        <w:gridCol w:w="122"/>
        <w:gridCol w:w="80"/>
        <w:gridCol w:w="67"/>
        <w:gridCol w:w="214"/>
        <w:gridCol w:w="55"/>
        <w:gridCol w:w="226"/>
        <w:gridCol w:w="43"/>
        <w:gridCol w:w="238"/>
        <w:gridCol w:w="31"/>
        <w:gridCol w:w="250"/>
        <w:gridCol w:w="46"/>
        <w:gridCol w:w="235"/>
        <w:gridCol w:w="26"/>
        <w:gridCol w:w="279"/>
      </w:tblGrid>
      <w:tr w:rsidR="00C01FEB" w:rsidRPr="00107068" w:rsidTr="006A4D53">
        <w:trPr>
          <w:trHeight w:val="57"/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#</w:t>
            </w:r>
          </w:p>
        </w:tc>
        <w:tc>
          <w:tcPr>
            <w:tcW w:w="275" w:type="dxa"/>
            <w:gridSpan w:val="2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 w:val="restart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C01FEB" w:rsidRPr="00107068" w:rsidRDefault="00C01FEB" w:rsidP="006A4D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 w:val="restart"/>
            <w:tcBorders>
              <w:left w:val="nil"/>
            </w:tcBorders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8" w:type="dxa"/>
            <w:gridSpan w:val="39"/>
            <w:vMerge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vMerge/>
            <w:tcBorders>
              <w:left w:val="nil"/>
            </w:tcBorders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" w:type="dxa"/>
            <w:gridSpan w:val="3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433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C01FEB" w:rsidRPr="00107068" w:rsidRDefault="00C01FEB" w:rsidP="006A4D53">
            <w:pPr>
              <w:ind w:left="360"/>
              <w:contextualSpacing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0232" w:type="dxa"/>
            <w:gridSpan w:val="7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01FEB" w:rsidRPr="00107068" w:rsidRDefault="00C01FEB" w:rsidP="00C01FEB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07068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INFORMACIÓN DEL DOCUMENTO BASE DE CONTRATACIÓN (DBC) </w:t>
            </w:r>
          </w:p>
          <w:p w:rsidR="00C01FEB" w:rsidRPr="00107068" w:rsidRDefault="00C01FEB" w:rsidP="006A4D5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107068">
              <w:rPr>
                <w:rFonts w:ascii="Arial" w:hAnsi="Arial" w:cs="Arial"/>
                <w:b/>
                <w:sz w:val="16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08:30</w:t>
            </w:r>
            <w:r w:rsidRPr="00107068">
              <w:rPr>
                <w:rFonts w:ascii="Arial" w:hAnsi="Arial" w:cs="Arial"/>
                <w:bCs/>
                <w:lang w:val="es-BO" w:eastAsia="es-BO"/>
              </w:rPr>
              <w:t xml:space="preserve"> a 16:30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58" w:type="dxa"/>
            <w:gridSpan w:val="2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4" w:type="dxa"/>
            <w:gridSpan w:val="21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i/>
                <w:lang w:val="es-BO"/>
              </w:rPr>
            </w:pPr>
            <w:r w:rsidRPr="00107068">
              <w:rPr>
                <w:rFonts w:ascii="Arial" w:hAnsi="Arial" w:cs="Arial"/>
                <w:i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bottom w:val="single" w:sz="4" w:space="0" w:color="auto"/>
            </w:tcBorders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Cargo</w:t>
            </w:r>
          </w:p>
        </w:tc>
        <w:tc>
          <w:tcPr>
            <w:tcW w:w="270" w:type="dxa"/>
            <w:gridSpan w:val="2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bottom w:val="single" w:sz="4" w:space="0" w:color="auto"/>
            </w:tcBorders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i/>
                <w:lang w:val="es-BO"/>
              </w:rPr>
              <w:t>Dependencia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técnicas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1538D">
              <w:rPr>
                <w:rFonts w:ascii="Arial" w:hAnsi="Arial" w:cs="Arial"/>
                <w:lang w:val="es-BO"/>
              </w:rPr>
              <w:t>Gabriela Geraldine Morales Barrientos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882557">
              <w:rPr>
                <w:rFonts w:ascii="Arial" w:hAnsi="Arial" w:cs="Arial"/>
                <w:lang w:val="es-BO"/>
              </w:rPr>
              <w:t>Administrador de Base de Datos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882557">
              <w:rPr>
                <w:rFonts w:ascii="Arial" w:hAnsi="Arial" w:cs="Arial"/>
                <w:lang w:val="es-BO"/>
              </w:rPr>
              <w:t>Departamento de Base de Datos y Comunicaciones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Encargado de atender consultas administrativas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BA350E">
              <w:rPr>
                <w:rFonts w:ascii="Arial" w:hAnsi="Arial" w:cs="Arial"/>
                <w:lang w:val="es-BO"/>
              </w:rPr>
              <w:t>Profesional en Compras y Contrataciones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</w:t>
            </w:r>
            <w:r w:rsidRPr="00BA350E">
              <w:rPr>
                <w:rFonts w:ascii="Arial" w:hAnsi="Arial" w:cs="Arial"/>
                <w:lang w:val="es-BO"/>
              </w:rPr>
              <w:t xml:space="preserve"> de Compras y Contrataciones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9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E19A9" w:rsidRDefault="00C01FEB" w:rsidP="006A4D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C01FEB" w:rsidRPr="000E19A9" w:rsidRDefault="00C01FEB" w:rsidP="006A4D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4752 (Consultas Administrativas)</w:t>
            </w:r>
          </w:p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0E19A9">
              <w:rPr>
                <w:rFonts w:ascii="Arial" w:hAnsi="Arial" w:cs="Arial"/>
                <w:bCs/>
                <w:lang w:val="es-BO" w:eastAsia="es-BO"/>
              </w:rPr>
              <w:t>1104 (Consultas Técnicas)</w:t>
            </w:r>
          </w:p>
        </w:tc>
        <w:tc>
          <w:tcPr>
            <w:tcW w:w="9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07068" w:rsidRDefault="00C01FEB" w:rsidP="006A4D53">
            <w:pPr>
              <w:jc w:val="center"/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6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E19A9" w:rsidRDefault="00C01FEB" w:rsidP="006A4D53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hyperlink r:id="rId5" w:history="1">
              <w:r w:rsidRPr="000E19A9">
                <w:rPr>
                  <w:rStyle w:val="Hipervnculo"/>
                  <w:rFonts w:ascii="Arial" w:hAnsi="Arial"/>
                  <w:szCs w:val="14"/>
                  <w:lang w:val="pt-BR" w:eastAsia="es-BO"/>
                </w:rPr>
                <w:t>mramos@bcb.gob.bo</w:t>
              </w:r>
            </w:hyperlink>
          </w:p>
          <w:p w:rsidR="00C01FEB" w:rsidRPr="000E19A9" w:rsidRDefault="00C01FEB" w:rsidP="006A4D53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r w:rsidRPr="000E19A9">
              <w:rPr>
                <w:rFonts w:ascii="Arial" w:hAnsi="Arial" w:cs="Arial"/>
                <w:szCs w:val="14"/>
                <w:lang w:val="pt-BR" w:eastAsia="es-BO"/>
              </w:rPr>
              <w:t>(Consultas Administrativas)</w:t>
            </w:r>
          </w:p>
          <w:p w:rsidR="00C01FEB" w:rsidRPr="000E19A9" w:rsidRDefault="00C01FEB" w:rsidP="006A4D53">
            <w:pPr>
              <w:rPr>
                <w:rStyle w:val="Hipervnculo"/>
                <w:rFonts w:ascii="Arial" w:hAnsi="Arial"/>
                <w:szCs w:val="14"/>
              </w:rPr>
            </w:pPr>
            <w:hyperlink r:id="rId6" w:history="1">
              <w:r w:rsidRPr="000E19A9">
                <w:rPr>
                  <w:rStyle w:val="Hipervnculo"/>
                  <w:rFonts w:ascii="Arial" w:hAnsi="Arial"/>
                  <w:szCs w:val="14"/>
                </w:rPr>
                <w:t>gbmorales@bcb.gob.bo</w:t>
              </w:r>
            </w:hyperlink>
          </w:p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0E19A9">
              <w:rPr>
                <w:rFonts w:ascii="Arial" w:hAnsi="Arial" w:cs="Arial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107068" w:rsidTr="006A4D53">
        <w:trPr>
          <w:trHeight w:val="283"/>
          <w:jc w:val="center"/>
        </w:trPr>
        <w:tc>
          <w:tcPr>
            <w:tcW w:w="3148" w:type="dxa"/>
            <w:gridSpan w:val="2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01FEB" w:rsidRPr="00107068" w:rsidRDefault="00C01FEB" w:rsidP="006A4D53">
            <w:pPr>
              <w:jc w:val="right"/>
              <w:rPr>
                <w:rFonts w:ascii="Arial" w:hAnsi="Arial" w:cs="Arial"/>
                <w:lang w:val="es-419"/>
              </w:rPr>
            </w:pPr>
            <w:r w:rsidRPr="00107068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107068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C01FEB" w:rsidRPr="00107068" w:rsidRDefault="00C01FEB" w:rsidP="006A4D53">
            <w:pPr>
              <w:rPr>
                <w:rFonts w:ascii="Arial" w:hAnsi="Arial" w:cs="Arial"/>
                <w:highlight w:val="green"/>
                <w:lang w:val="es-BO"/>
              </w:rPr>
            </w:pPr>
          </w:p>
        </w:tc>
        <w:tc>
          <w:tcPr>
            <w:tcW w:w="704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Número de Cuenta: 10000041173216</w:t>
            </w:r>
          </w:p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Banco: Banco Unión S.A.</w:t>
            </w:r>
          </w:p>
          <w:p w:rsidR="00C01FEB" w:rsidRPr="00107068" w:rsidRDefault="00C01FEB" w:rsidP="006A4D53">
            <w:pPr>
              <w:rPr>
                <w:rFonts w:ascii="Arial" w:hAnsi="Arial" w:cs="Arial"/>
              </w:rPr>
            </w:pPr>
            <w:r w:rsidRPr="00107068">
              <w:rPr>
                <w:rFonts w:ascii="Arial" w:hAnsi="Arial" w:cs="Arial"/>
              </w:rPr>
              <w:t>Titular: Tesoro General de la Nación</w:t>
            </w:r>
          </w:p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  <w:r w:rsidRPr="00107068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C01FEB" w:rsidRPr="00107068" w:rsidRDefault="00C01FEB" w:rsidP="006A4D53">
            <w:pPr>
              <w:rPr>
                <w:rFonts w:ascii="Arial" w:hAnsi="Arial" w:cs="Arial"/>
                <w:lang w:val="es-BO"/>
              </w:rPr>
            </w:pPr>
          </w:p>
        </w:tc>
      </w:tr>
      <w:tr w:rsidR="00C01FEB" w:rsidRPr="00A40276" w:rsidTr="006A4D53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1F4E79" w:themeColor="accent1" w:themeShade="80"/>
            </w:tcBorders>
            <w:vAlign w:val="center"/>
          </w:tcPr>
          <w:p w:rsidR="00C01FEB" w:rsidRPr="00A40276" w:rsidRDefault="00C01FEB" w:rsidP="006A4D5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C01FEB" w:rsidRPr="00A40276" w:rsidRDefault="00C01FEB" w:rsidP="006A4D5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C01FEB" w:rsidRDefault="00C01FEB" w:rsidP="00C01FEB">
      <w:pPr>
        <w:rPr>
          <w:lang w:val="es-BO"/>
        </w:rPr>
      </w:pPr>
    </w:p>
    <w:p w:rsidR="00C01FEB" w:rsidRDefault="00C01FEB" w:rsidP="00C01FEB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C01FEB" w:rsidRDefault="00C01FEB" w:rsidP="00C01FEB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C01FEB" w:rsidRPr="00A40276" w:rsidTr="006A4D53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C01FEB" w:rsidRPr="00A40276" w:rsidRDefault="00C01FEB" w:rsidP="006A4D53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C01FEB" w:rsidRPr="00A40276" w:rsidRDefault="00C01FEB" w:rsidP="00C01FE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C01FEB" w:rsidRPr="00A40276" w:rsidRDefault="00C01FEB" w:rsidP="00C01FEB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C01FEB" w:rsidRPr="00A40276" w:rsidRDefault="00C01FEB" w:rsidP="00C01FEB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C01FEB" w:rsidRPr="00A40276" w:rsidRDefault="00C01FEB" w:rsidP="006A4D53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C01FEB" w:rsidRPr="00A40276" w:rsidRDefault="00C01FEB" w:rsidP="00C01FE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C01FEB" w:rsidRPr="00A40276" w:rsidRDefault="00C01FEB" w:rsidP="00C01FE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C01FEB" w:rsidRPr="00A40276" w:rsidRDefault="00C01FEB" w:rsidP="006A4D53">
            <w:pPr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C01FEB" w:rsidRDefault="00C01FEB" w:rsidP="00C01FEB">
      <w:pPr>
        <w:rPr>
          <w:lang w:val="es-BO"/>
        </w:rPr>
      </w:pPr>
    </w:p>
    <w:p w:rsidR="00C01FEB" w:rsidRPr="004B26AD" w:rsidRDefault="00C01FEB" w:rsidP="00C01FEB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C01FEB" w:rsidRDefault="00C01FEB" w:rsidP="00C01FEB">
      <w:pPr>
        <w:jc w:val="both"/>
        <w:rPr>
          <w:rFonts w:cs="Arial"/>
          <w:b/>
          <w:i/>
          <w:sz w:val="18"/>
          <w:szCs w:val="18"/>
        </w:rPr>
      </w:pPr>
    </w:p>
    <w:tbl>
      <w:tblPr>
        <w:tblW w:w="5405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784"/>
        <w:gridCol w:w="7"/>
        <w:gridCol w:w="7"/>
        <w:gridCol w:w="247"/>
        <w:gridCol w:w="66"/>
        <w:gridCol w:w="355"/>
        <w:gridCol w:w="134"/>
        <w:gridCol w:w="343"/>
        <w:gridCol w:w="134"/>
        <w:gridCol w:w="506"/>
        <w:gridCol w:w="107"/>
        <w:gridCol w:w="30"/>
        <w:gridCol w:w="134"/>
        <w:gridCol w:w="296"/>
        <w:gridCol w:w="134"/>
        <w:gridCol w:w="294"/>
        <w:gridCol w:w="134"/>
        <w:gridCol w:w="134"/>
        <w:gridCol w:w="2896"/>
        <w:gridCol w:w="134"/>
      </w:tblGrid>
      <w:tr w:rsidR="00C01FEB" w:rsidRPr="000C6821" w:rsidTr="006A4D53">
        <w:trPr>
          <w:trHeight w:val="447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C01FEB" w:rsidRPr="000C6821" w:rsidTr="006A4D53">
        <w:trPr>
          <w:trHeight w:val="284"/>
          <w:tblHeader/>
        </w:trPr>
        <w:tc>
          <w:tcPr>
            <w:tcW w:w="167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4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57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2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C01FEB" w:rsidRPr="000C6821" w:rsidTr="006A4D53">
        <w:trPr>
          <w:trHeight w:val="130"/>
        </w:trPr>
        <w:tc>
          <w:tcPr>
            <w:tcW w:w="14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1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72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245546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A478A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2B0B54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7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64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4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7621BF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17563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7563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2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CD5EB0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CD5EB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175632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C02660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3"/>
                <w:szCs w:val="13"/>
                <w:lang w:val="es-BO"/>
              </w:rPr>
              <w:t>--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788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310CA2" w:rsidRDefault="00C01FEB" w:rsidP="00C01FEB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C01FEB" w:rsidRDefault="00C01FEB" w:rsidP="006A4D5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C01FEB" w:rsidRPr="003907AB" w:rsidRDefault="00C01FEB" w:rsidP="00C01FEB">
            <w:pPr>
              <w:pStyle w:val="Textoindependiente3"/>
              <w:numPr>
                <w:ilvl w:val="0"/>
                <w:numId w:val="5"/>
              </w:numPr>
              <w:spacing w:after="0"/>
              <w:ind w:left="234" w:hanging="234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En caso de presentación de la Garantía de Seriedad de Propuesta en forma física:</w:t>
            </w:r>
          </w:p>
          <w:p w:rsidR="00C01FEB" w:rsidRPr="00310CA2" w:rsidRDefault="00C01FEB" w:rsidP="006A4D5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7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A478A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A478A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87393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665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A478A3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Default="00C01FEB" w:rsidP="006A4D53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C01FEB" w:rsidRDefault="00C01FEB" w:rsidP="006A4D53">
            <w:pPr>
              <w:widowControl w:val="0"/>
              <w:jc w:val="both"/>
              <w:rPr>
                <w:sz w:val="12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F6D5A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F6D5A">
              <w:rPr>
                <w:rFonts w:ascii="Arial" w:hAnsi="Arial" w:cs="Arial"/>
                <w:sz w:val="13"/>
                <w:szCs w:val="13"/>
              </w:rPr>
              <w:t>:</w:t>
            </w:r>
            <w:hyperlink r:id="rId7" w:history="1"/>
            <w:r w:rsidRPr="007F6D5A">
              <w:rPr>
                <w:sz w:val="12"/>
              </w:rPr>
              <w:t xml:space="preserve"> </w:t>
            </w:r>
          </w:p>
          <w:p w:rsidR="00C01FEB" w:rsidRDefault="00C01FEB" w:rsidP="006A4D53">
            <w:pPr>
              <w:widowControl w:val="0"/>
              <w:jc w:val="both"/>
              <w:rPr>
                <w:sz w:val="12"/>
              </w:rPr>
            </w:pPr>
          </w:p>
          <w:p w:rsidR="00C01FEB" w:rsidRDefault="00C01FEB" w:rsidP="006A4D53">
            <w:pPr>
              <w:widowControl w:val="0"/>
              <w:jc w:val="both"/>
              <w:rPr>
                <w:sz w:val="12"/>
              </w:rPr>
            </w:pPr>
            <w:hyperlink r:id="rId8" w:history="1">
              <w:r w:rsidRPr="00CD4160">
                <w:rPr>
                  <w:rStyle w:val="Hipervnculo"/>
                  <w:sz w:val="12"/>
                </w:rPr>
                <w:t>https://bcb-gob-bo.zoom.us/j/84715963040?pwd=7kbNDgU2sq90hTEKxGjSlZmDYiHMA5.1</w:t>
              </w:r>
            </w:hyperlink>
          </w:p>
          <w:p w:rsidR="00C01FEB" w:rsidRDefault="00C01FEB" w:rsidP="006A4D53">
            <w:pPr>
              <w:widowControl w:val="0"/>
              <w:jc w:val="both"/>
              <w:rPr>
                <w:sz w:val="12"/>
              </w:rPr>
            </w:pPr>
          </w:p>
          <w:p w:rsidR="00C01FEB" w:rsidRDefault="00C01FEB" w:rsidP="006A4D53">
            <w:pPr>
              <w:widowControl w:val="0"/>
              <w:jc w:val="both"/>
              <w:rPr>
                <w:sz w:val="12"/>
              </w:rPr>
            </w:pPr>
          </w:p>
          <w:p w:rsidR="00C01FEB" w:rsidRPr="009A417A" w:rsidRDefault="00C01FEB" w:rsidP="006A4D53">
            <w:pPr>
              <w:widowControl w:val="0"/>
              <w:jc w:val="both"/>
              <w:rPr>
                <w:sz w:val="12"/>
                <w:highlight w:val="yellow"/>
              </w:rPr>
            </w:pPr>
            <w:r>
              <w:rPr>
                <w:sz w:val="12"/>
              </w:rPr>
              <w:t xml:space="preserve">ID de reunión: </w:t>
            </w:r>
            <w:r w:rsidRPr="00CE1031">
              <w:rPr>
                <w:sz w:val="14"/>
              </w:rPr>
              <w:t>847 1596 3040</w:t>
            </w:r>
          </w:p>
          <w:p w:rsidR="00C01FEB" w:rsidRDefault="00C01FEB" w:rsidP="006A4D53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C01FEB" w:rsidRDefault="00C01FEB" w:rsidP="006A4D53">
            <w:pPr>
              <w:widowControl w:val="0"/>
              <w:jc w:val="both"/>
              <w:rPr>
                <w:sz w:val="12"/>
              </w:rPr>
            </w:pPr>
            <w:r w:rsidRPr="00F72DAB">
              <w:rPr>
                <w:sz w:val="12"/>
              </w:rPr>
              <w:t xml:space="preserve">Clave de acceso: </w:t>
            </w:r>
            <w:r w:rsidRPr="00CE1031">
              <w:rPr>
                <w:sz w:val="14"/>
              </w:rPr>
              <w:t>712275</w:t>
            </w:r>
          </w:p>
          <w:p w:rsidR="00C01FEB" w:rsidRPr="000C6821" w:rsidRDefault="00C01FEB" w:rsidP="006A4D53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C01FEB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C01FEB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C01FEB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C01FEB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53"/>
        </w:trPr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74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9A417A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9A417A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9A417A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9A417A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FEB" w:rsidRPr="009A417A" w:rsidRDefault="00C01FEB" w:rsidP="006A4D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FEB" w:rsidRPr="000C6821" w:rsidTr="006A4D53">
        <w:trPr>
          <w:trHeight w:val="319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291"/>
        </w:trPr>
        <w:tc>
          <w:tcPr>
            <w:tcW w:w="14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53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c>
          <w:tcPr>
            <w:tcW w:w="1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2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5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01FEB" w:rsidRPr="000C6821" w:rsidTr="006A4D53">
        <w:trPr>
          <w:trHeight w:val="190"/>
        </w:trPr>
        <w:tc>
          <w:tcPr>
            <w:tcW w:w="14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0C6821" w:rsidTr="006A4D53">
        <w:trPr>
          <w:trHeight w:val="304"/>
        </w:trPr>
        <w:tc>
          <w:tcPr>
            <w:tcW w:w="14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01FEB" w:rsidRPr="000C6821" w:rsidRDefault="00C01FEB" w:rsidP="006A4D5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A478A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C01FEB" w:rsidRPr="000C6821" w:rsidRDefault="00C01FEB" w:rsidP="006A4D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01FEB" w:rsidRPr="00492D3E" w:rsidTr="006A4D53">
        <w:tc>
          <w:tcPr>
            <w:tcW w:w="14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01FEB" w:rsidRPr="00492D3E" w:rsidRDefault="00C01FEB" w:rsidP="006A4D53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52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1FEB" w:rsidRPr="00492D3E" w:rsidRDefault="00C01FEB" w:rsidP="006A4D5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6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1FEB" w:rsidRPr="00492D3E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3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FEB" w:rsidRPr="00492D3E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5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01FEB" w:rsidRPr="00492D3E" w:rsidRDefault="00C01FEB" w:rsidP="006A4D5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01FEB" w:rsidRPr="00492D3E" w:rsidRDefault="00C01FEB" w:rsidP="006A4D53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C01FEB" w:rsidRDefault="00C01FEB" w:rsidP="00C01FEB">
      <w:pPr>
        <w:jc w:val="both"/>
        <w:rPr>
          <w:rFonts w:cs="Arial"/>
          <w:b/>
          <w:i/>
          <w:sz w:val="18"/>
          <w:szCs w:val="18"/>
        </w:rPr>
      </w:pPr>
    </w:p>
    <w:p w:rsidR="0055704E" w:rsidRDefault="00C01FEB" w:rsidP="00CF565F">
      <w:pPr>
        <w:rPr>
          <w:sz w:val="10"/>
          <w:szCs w:val="10"/>
        </w:rPr>
      </w:pPr>
      <w:r w:rsidRPr="00A244D6">
        <w:rPr>
          <w:rFonts w:cs="Arial"/>
          <w:i/>
          <w:sz w:val="14"/>
          <w:szCs w:val="18"/>
          <w:lang w:val="es-BO"/>
        </w:rPr>
        <w:t xml:space="preserve"> 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  <w:bookmarkStart w:id="2" w:name="_GoBack"/>
      <w:bookmarkEnd w:id="1"/>
      <w:bookmarkEnd w:id="2"/>
    </w:p>
    <w:sectPr w:rsidR="00557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37" w:hanging="360"/>
      </w:pPr>
      <w:rPr>
        <w:rFonts w:ascii="Symbol" w:hAnsi="Symbol" w:cs="Symbol"/>
        <w:sz w:val="16"/>
        <w:szCs w:val="16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15861B2"/>
    <w:multiLevelType w:val="hybridMultilevel"/>
    <w:tmpl w:val="CA34E38E"/>
    <w:lvl w:ilvl="0" w:tplc="536A6FC8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2F168B"/>
    <w:rsid w:val="00382D71"/>
    <w:rsid w:val="003979C0"/>
    <w:rsid w:val="00457334"/>
    <w:rsid w:val="00515215"/>
    <w:rsid w:val="0055704E"/>
    <w:rsid w:val="005645EA"/>
    <w:rsid w:val="0069651A"/>
    <w:rsid w:val="00981C40"/>
    <w:rsid w:val="00B26357"/>
    <w:rsid w:val="00C01FEB"/>
    <w:rsid w:val="00CF565F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01FEB"/>
    <w:pPr>
      <w:keepNext/>
      <w:numPr>
        <w:numId w:val="8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C01FEB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C01FEB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C01FEB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01FEB"/>
    <w:pPr>
      <w:keepNext/>
      <w:numPr>
        <w:numId w:val="10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01FEB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01FE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01FEB"/>
    <w:pPr>
      <w:keepNext/>
      <w:numPr>
        <w:numId w:val="9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01FEB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01FEB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01FEB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C01FEB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01FE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01FEB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C01FE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01FEB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C01FEB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C01FEB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C01FEB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C01F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01FE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1F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FE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C01FE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01FEB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C01FEB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01FEB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01FE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C01FEB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01FE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01FEB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C01FE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1FEB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C01FEB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C01FE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01FEB"/>
    <w:pPr>
      <w:spacing w:after="100"/>
      <w:ind w:left="160"/>
    </w:pPr>
  </w:style>
  <w:style w:type="paragraph" w:customStyle="1" w:styleId="Estilo">
    <w:name w:val="Estilo"/>
    <w:rsid w:val="00C01F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C01FE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1FEB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1FEB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01FE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01F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01FE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01FE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01FE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C01FE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01FE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01FEB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C01FE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1FE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C01FEB"/>
    <w:rPr>
      <w:vertAlign w:val="superscript"/>
    </w:rPr>
  </w:style>
  <w:style w:type="paragraph" w:customStyle="1" w:styleId="BodyText21">
    <w:name w:val="Body Text 21"/>
    <w:basedOn w:val="Normal"/>
    <w:rsid w:val="00C01FEB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01FE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01FE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01FEB"/>
  </w:style>
  <w:style w:type="paragraph" w:customStyle="1" w:styleId="Document1">
    <w:name w:val="Document 1"/>
    <w:rsid w:val="00C01FE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01FEB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01FE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C01FEB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1FEB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C01FE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01FEB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01FEB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01FEB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01FE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C01FEB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01FEB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C01FEB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0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01FEB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01FE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01FEB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01FEB"/>
    <w:rPr>
      <w:color w:val="808080"/>
    </w:rPr>
  </w:style>
  <w:style w:type="character" w:styleId="Textoennegrita">
    <w:name w:val="Strong"/>
    <w:basedOn w:val="Fuentedeprrafopredeter"/>
    <w:uiPriority w:val="22"/>
    <w:qFormat/>
    <w:rsid w:val="00C01FEB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01F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01F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01FEB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C01FEB"/>
    <w:pPr>
      <w:spacing w:after="100"/>
      <w:ind w:left="320"/>
    </w:pPr>
  </w:style>
  <w:style w:type="paragraph" w:customStyle="1" w:styleId="Ttulo10">
    <w:name w:val="Título1"/>
    <w:basedOn w:val="Normal"/>
    <w:qFormat/>
    <w:rsid w:val="00C01FE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01F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01FE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C01FEB"/>
  </w:style>
  <w:style w:type="character" w:styleId="Hipervnculovisitado">
    <w:name w:val="FollowedHyperlink"/>
    <w:rsid w:val="00C01FEB"/>
    <w:rPr>
      <w:color w:val="800080"/>
      <w:u w:val="single"/>
    </w:rPr>
  </w:style>
  <w:style w:type="paragraph" w:customStyle="1" w:styleId="bodycopy">
    <w:name w:val="bodycopy"/>
    <w:basedOn w:val="Normal"/>
    <w:rsid w:val="00C01FEB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C01FEB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C01FEB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C01FEB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C01FEB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C01FEB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C01FEB"/>
  </w:style>
  <w:style w:type="character" w:customStyle="1" w:styleId="eabrv">
    <w:name w:val="eabrv"/>
    <w:basedOn w:val="Fuentedeprrafopredeter"/>
    <w:rsid w:val="00C01FEB"/>
  </w:style>
  <w:style w:type="character" w:customStyle="1" w:styleId="eacep">
    <w:name w:val="eacep"/>
    <w:basedOn w:val="Fuentedeprrafopredeter"/>
    <w:rsid w:val="00C01FEB"/>
  </w:style>
  <w:style w:type="paragraph" w:styleId="Descripcin">
    <w:name w:val="caption"/>
    <w:basedOn w:val="Normal"/>
    <w:next w:val="Normal"/>
    <w:qFormat/>
    <w:rsid w:val="00C01FEB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C01FEB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C01FEB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C01FEB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C01FEB"/>
  </w:style>
  <w:style w:type="paragraph" w:customStyle="1" w:styleId="ListParagraphPHPDOCX">
    <w:name w:val="List Paragraph PHPDOCX"/>
    <w:basedOn w:val="Normal"/>
    <w:uiPriority w:val="34"/>
    <w:qFormat/>
    <w:rsid w:val="00C01FEB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C01F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01F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C01F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01F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C0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C0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C01FEB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01FEB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01FEB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C01FEB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01FEB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01FEB"/>
    <w:rPr>
      <w:vertAlign w:val="superscript"/>
    </w:rPr>
  </w:style>
  <w:style w:type="paragraph" w:customStyle="1" w:styleId="TitleCover">
    <w:name w:val="Title Cover"/>
    <w:basedOn w:val="Normal"/>
    <w:next w:val="Normal"/>
    <w:rsid w:val="00C01FEB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C01FEB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C01FEB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C01F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C01FEB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C01FEB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C01FE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C01F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C0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C0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C01F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C01F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C01FEB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C01FEB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C01F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4715963040?pwd=7kbNDgU2sq90hTEKxGjSlZmDYiHMA5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morales@bcb.gob.bo" TargetMode="External"/><Relationship Id="rId5" Type="http://schemas.openxmlformats.org/officeDocument/2006/relationships/hyperlink" Target="mailto:mramos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1311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10</cp:revision>
  <cp:lastPrinted>2026-02-21T02:31:00Z</cp:lastPrinted>
  <dcterms:created xsi:type="dcterms:W3CDTF">2026-02-20T19:02:00Z</dcterms:created>
  <dcterms:modified xsi:type="dcterms:W3CDTF">2026-03-20T23:54:00Z</dcterms:modified>
</cp:coreProperties>
</file>