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2D" w:rsidRPr="009956C4" w:rsidRDefault="00417E2D" w:rsidP="00417E2D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417E2D" w:rsidRPr="009956C4" w:rsidRDefault="00417E2D" w:rsidP="00417E2D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417E2D" w:rsidRPr="009956C4" w:rsidRDefault="00417E2D" w:rsidP="00417E2D">
      <w:pPr>
        <w:jc w:val="both"/>
        <w:rPr>
          <w:rFonts w:cs="Arial"/>
          <w:sz w:val="2"/>
          <w:szCs w:val="18"/>
          <w:lang w:val="es-BO"/>
        </w:rPr>
      </w:pPr>
    </w:p>
    <w:p w:rsidR="00417E2D" w:rsidRPr="009956C4" w:rsidRDefault="00417E2D" w:rsidP="00417E2D">
      <w:pPr>
        <w:jc w:val="both"/>
        <w:rPr>
          <w:rFonts w:cs="Arial"/>
          <w:sz w:val="2"/>
          <w:szCs w:val="18"/>
          <w:lang w:val="es-BO"/>
        </w:rPr>
      </w:pPr>
    </w:p>
    <w:p w:rsidR="00417E2D" w:rsidRDefault="00417E2D" w:rsidP="00417E2D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417E2D" w:rsidRPr="006D5FB6" w:rsidRDefault="00417E2D" w:rsidP="00417E2D">
      <w:pPr>
        <w:rPr>
          <w:sz w:val="12"/>
          <w:lang w:val="es-BO"/>
        </w:rPr>
      </w:pPr>
    </w:p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06"/>
        <w:gridCol w:w="277"/>
        <w:gridCol w:w="2207"/>
        <w:gridCol w:w="2336"/>
        <w:gridCol w:w="252"/>
      </w:tblGrid>
      <w:tr w:rsidR="00417E2D" w:rsidRPr="009956C4" w:rsidTr="002D0F99">
        <w:trPr>
          <w:trHeight w:val="118"/>
        </w:trPr>
        <w:tc>
          <w:tcPr>
            <w:tcW w:w="9847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17E2D" w:rsidRPr="009956C4" w:rsidRDefault="00417E2D" w:rsidP="00417E2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17E2D" w:rsidRPr="0060074B" w:rsidTr="002D0F99">
        <w:tc>
          <w:tcPr>
            <w:tcW w:w="9847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60074B" w:rsidRDefault="00417E2D" w:rsidP="002D0F9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17E2D" w:rsidRPr="00902822" w:rsidTr="002D0F99">
        <w:trPr>
          <w:trHeight w:val="40"/>
        </w:trPr>
        <w:tc>
          <w:tcPr>
            <w:tcW w:w="22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17E2D" w:rsidRPr="00902822" w:rsidTr="002D0F99">
        <w:trPr>
          <w:trHeight w:val="100"/>
        </w:trPr>
        <w:tc>
          <w:tcPr>
            <w:tcW w:w="9847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17E2D" w:rsidRPr="00902822" w:rsidTr="002D0F99">
        <w:trPr>
          <w:trHeight w:val="20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3069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  <w:r w:rsidRPr="00F30690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30690">
              <w:rPr>
                <w:rFonts w:ascii="Arial" w:hAnsi="Arial" w:cs="Arial"/>
                <w:lang w:val="es-BO"/>
              </w:rPr>
              <w:t>ANPE-P Nº071/2025-1C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17E2D" w:rsidRPr="00902822" w:rsidTr="002D0F99">
        <w:trPr>
          <w:trHeight w:val="20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17E2D" w:rsidRPr="00902822" w:rsidTr="002D0F99">
        <w:trPr>
          <w:trHeight w:val="56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417E2D" w:rsidRPr="006D5FB6" w:rsidTr="002D0F99">
        <w:trPr>
          <w:trHeight w:val="47"/>
        </w:trPr>
        <w:tc>
          <w:tcPr>
            <w:tcW w:w="9847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17E2D" w:rsidRPr="00902822" w:rsidTr="002D0F99">
        <w:trPr>
          <w:trHeight w:val="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E2D" w:rsidRPr="00C00BC3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291"/>
        <w:gridCol w:w="292"/>
        <w:gridCol w:w="286"/>
        <w:gridCol w:w="289"/>
        <w:gridCol w:w="288"/>
        <w:gridCol w:w="283"/>
        <w:gridCol w:w="7"/>
        <w:gridCol w:w="277"/>
        <w:gridCol w:w="10"/>
        <w:gridCol w:w="287"/>
        <w:gridCol w:w="28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64"/>
        <w:gridCol w:w="79"/>
        <w:gridCol w:w="237"/>
      </w:tblGrid>
      <w:tr w:rsidR="00417E2D" w:rsidRPr="00902822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7E2D" w:rsidRPr="00902822" w:rsidTr="002D0F99">
        <w:trPr>
          <w:trHeight w:hRule="exact" w:val="463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C00BC3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6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500D75" w:rsidRDefault="00417E2D" w:rsidP="002D0F99">
            <w:pPr>
              <w:ind w:left="-73" w:right="-138"/>
              <w:jc w:val="center"/>
              <w:rPr>
                <w:rFonts w:ascii="Arial" w:hAnsi="Arial" w:cs="Arial"/>
                <w:b/>
                <w:lang w:val="es-BO"/>
              </w:rPr>
            </w:pPr>
            <w:r w:rsidRPr="009A0BE7">
              <w:rPr>
                <w:rFonts w:ascii="Arial" w:hAnsi="Arial" w:cs="Arial"/>
                <w:b/>
                <w:bCs/>
                <w:lang w:val="es-BO"/>
              </w:rPr>
              <w:t>ADQUISICIÓN DE EQUIPAMIENTO DE RED INALÁMBRICA PARA DIFERENTES OFICINAS DEL BCB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rPr>
          <w:trHeight w:val="20"/>
        </w:trPr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17E2D" w:rsidRPr="00902822" w:rsidTr="002D0F99">
        <w:trPr>
          <w:trHeight w:val="20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C00BC3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10" w:type="dxa"/>
            <w:gridSpan w:val="10"/>
            <w:tcBorders>
              <w:left w:val="single" w:sz="4" w:space="0" w:color="auto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87" w:type="dxa"/>
            <w:shd w:val="clear" w:color="auto" w:fill="FFFFFF" w:themeFill="background1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0" w:type="dxa"/>
            <w:gridSpan w:val="10"/>
            <w:tcBorders>
              <w:left w:val="single" w:sz="4" w:space="0" w:color="auto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204" w:type="dxa"/>
            <w:gridSpan w:val="5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17E2D" w:rsidRPr="00902822" w:rsidTr="002D0F99">
        <w:trPr>
          <w:trHeight w:val="2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29" w:type="dxa"/>
            <w:gridSpan w:val="10"/>
            <w:vMerge w:val="restart"/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17E2D" w:rsidRPr="00902822" w:rsidTr="002D0F99">
        <w:trPr>
          <w:trHeight w:val="58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10" w:type="dxa"/>
            <w:gridSpan w:val="10"/>
            <w:tcBorders>
              <w:left w:val="single" w:sz="4" w:space="0" w:color="auto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7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9" w:type="dxa"/>
            <w:gridSpan w:val="10"/>
            <w:vMerge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17E2D" w:rsidRPr="00902822" w:rsidTr="002D0F99">
        <w:trPr>
          <w:trHeight w:val="40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59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1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950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17E2D" w:rsidRPr="006D5FB6" w:rsidRDefault="00417E2D" w:rsidP="002D0F9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17E2D" w:rsidRPr="00902822" w:rsidTr="002D0F99"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17E2D" w:rsidRPr="00902822" w:rsidTr="002D0F99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A0BE7" w:rsidRDefault="00417E2D" w:rsidP="002D0F99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0466AC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80</w:t>
            </w:r>
            <w:r w:rsidRPr="000466AC">
              <w:rPr>
                <w:rFonts w:ascii="Arial" w:hAnsi="Arial" w:cs="Arial"/>
                <w:b/>
                <w:i/>
                <w:sz w:val="14"/>
                <w:lang w:val="es-BO"/>
              </w:rPr>
              <w:t>0.000,00 (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Ocho</w:t>
            </w:r>
            <w:r w:rsidRPr="000466AC">
              <w:rPr>
                <w:rFonts w:ascii="Arial" w:hAnsi="Arial" w:cs="Arial"/>
                <w:b/>
                <w:i/>
                <w:sz w:val="14"/>
                <w:lang w:val="es-BO"/>
              </w:rPr>
              <w:t>cientos Mil 00/100 bolivianos)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rPr>
          <w:trHeight w:val="47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17E2D" w:rsidRPr="00902822" w:rsidTr="002D0F99">
        <w:trPr>
          <w:trHeight w:val="240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C00BC3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7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574" w:type="dxa"/>
            <w:gridSpan w:val="17"/>
            <w:tcBorders>
              <w:left w:val="single" w:sz="4" w:space="0" w:color="auto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0" w:type="dxa"/>
            <w:gridSpan w:val="3"/>
            <w:tcBorders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17E2D" w:rsidRPr="00902822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6D5FB6" w:rsidRDefault="00417E2D" w:rsidP="002D0F9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17E2D" w:rsidRPr="00902822" w:rsidTr="002D0F99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F25D38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 w:rsidRPr="009A0BE7">
              <w:rPr>
                <w:rFonts w:ascii="Arial" w:hAnsi="Arial" w:cs="Arial"/>
                <w:b/>
                <w:sz w:val="14"/>
                <w:szCs w:val="14"/>
                <w:lang w:val="es-BO"/>
              </w:rPr>
              <w:t>El proveedor debe entregar los bienes en un plazo no mayor a setenta y cinco (75) días calendario, a partir del siguiente día hábil a la firma del contrato.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rPr>
          <w:trHeight w:val="309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02822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7E2D" w:rsidRPr="00902822" w:rsidTr="002D0F99">
        <w:trPr>
          <w:trHeight w:val="113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02822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02822" w:rsidRDefault="00417E2D" w:rsidP="002D0F99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requerido para el presente proceso de contratación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02822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60074B" w:rsidRDefault="00417E2D" w:rsidP="002D0F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17E2D" w:rsidRPr="009956C4" w:rsidTr="002D0F99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C00BC3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7E2D" w:rsidRPr="00DB38B8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6D5FB6" w:rsidTr="002D0F99">
        <w:trPr>
          <w:trHeight w:val="563"/>
        </w:trPr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7528"/>
            </w:tblGrid>
            <w:tr w:rsidR="00417E2D" w:rsidRPr="00746948" w:rsidTr="002D0F99">
              <w:trPr>
                <w:trHeight w:val="665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7E2D" w:rsidRPr="00746948" w:rsidRDefault="00417E2D" w:rsidP="002D0F99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 xml:space="preserve">Garantía de                       </w:t>
                  </w:r>
                </w:p>
                <w:p w:rsidR="00417E2D" w:rsidRPr="00746948" w:rsidRDefault="00417E2D" w:rsidP="002D0F99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>Funcionamiento de</w:t>
                  </w:r>
                </w:p>
                <w:p w:rsidR="00417E2D" w:rsidRPr="00746948" w:rsidRDefault="00417E2D" w:rsidP="002D0F99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>Maquinaria y/o Equipo</w:t>
                  </w:r>
                </w:p>
              </w:tc>
              <w:tc>
                <w:tcPr>
                  <w:tcW w:w="7528" w:type="dxa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417E2D" w:rsidRPr="00746948" w:rsidRDefault="00417E2D" w:rsidP="002D0F99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G</w:t>
                  </w:r>
                  <w:r w:rsidRPr="000518CC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 xml:space="preserve">arantía de buen funcionamiento de maquinaria y/o equipo, </w:t>
                  </w:r>
                  <w:r w:rsidRPr="009A0BE7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vigente por un periodo de al menos un (1) año y treinta (30) días que serán computables a partir de una fecha posterior a emisión de informe técnico y  antes de la fecha de emisión de acta de recepción</w:t>
                  </w:r>
                  <w:r w:rsidRPr="00DC0A71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, por un monto del 1.5% del total contratado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.</w:t>
                  </w:r>
                </w:p>
              </w:tc>
            </w:tr>
          </w:tbl>
          <w:p w:rsidR="00417E2D" w:rsidRPr="00746948" w:rsidRDefault="00417E2D" w:rsidP="002D0F99">
            <w:pPr>
              <w:rPr>
                <w:rFonts w:ascii="Arial" w:hAnsi="Arial" w:cs="Arial"/>
                <w:lang w:val="es-BO"/>
              </w:rPr>
            </w:pPr>
          </w:p>
        </w:tc>
      </w:tr>
      <w:tr w:rsidR="00417E2D" w:rsidRPr="009956C4" w:rsidTr="002D0F99">
        <w:trPr>
          <w:trHeight w:val="57"/>
        </w:trPr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417E2D" w:rsidRPr="009956C4" w:rsidTr="002D0F99">
        <w:tc>
          <w:tcPr>
            <w:tcW w:w="280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DB38B8" w:rsidRDefault="00417E2D" w:rsidP="002D0F9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417E2D" w:rsidRPr="00156685" w:rsidRDefault="00417E2D" w:rsidP="002D0F9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17E2D" w:rsidRPr="009956C4" w:rsidTr="002D0F99">
        <w:tc>
          <w:tcPr>
            <w:tcW w:w="280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280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417E2D" w:rsidRPr="009956C4" w:rsidTr="002D0F99">
        <w:tc>
          <w:tcPr>
            <w:tcW w:w="2807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17E2D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417E2D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417E2D" w:rsidRPr="00C00BC3" w:rsidRDefault="00417E2D" w:rsidP="002D0F9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17E2D" w:rsidRPr="00F10648" w:rsidRDefault="00417E2D" w:rsidP="002D0F9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60"/>
        </w:trPr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237"/>
        </w:trPr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lang w:val="es-BO"/>
              </w:rPr>
            </w:pPr>
            <w:r w:rsidRPr="001E57F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17E2D" w:rsidRPr="009956C4" w:rsidTr="002D0F99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  <w:tr w:rsidR="00417E2D" w:rsidRPr="009956C4" w:rsidTr="002D0F99">
        <w:trPr>
          <w:trHeight w:val="397"/>
        </w:trPr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17E2D" w:rsidRPr="009956C4" w:rsidRDefault="00417E2D" w:rsidP="00417E2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417E2D" w:rsidRPr="009956C4" w:rsidTr="002D0F99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417E2D" w:rsidRPr="009956C4" w:rsidTr="002D0F99">
        <w:trPr>
          <w:trHeight w:val="40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F10648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E2D" w:rsidRPr="00F10648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F10648" w:rsidRDefault="00417E2D" w:rsidP="002D0F99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</w:p>
        </w:tc>
      </w:tr>
      <w:tr w:rsidR="00417E2D" w:rsidRPr="009956C4" w:rsidTr="002D0F99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17E2D" w:rsidRPr="009956C4" w:rsidTr="002D0F99">
        <w:tc>
          <w:tcPr>
            <w:tcW w:w="2807" w:type="dxa"/>
            <w:tcBorders>
              <w:left w:val="single" w:sz="12" w:space="0" w:color="1F4E79" w:themeColor="accent1" w:themeShade="80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17E2D" w:rsidRPr="009956C4" w:rsidTr="002D0F99"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17E2D" w:rsidRPr="009956C4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2F144D" w:rsidRDefault="00417E2D" w:rsidP="002D0F9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</w:p>
        </w:tc>
      </w:tr>
      <w:tr w:rsidR="00417E2D" w:rsidRPr="009956C4" w:rsidTr="002D0F99">
        <w:trPr>
          <w:trHeight w:val="335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2F144D" w:rsidRDefault="00417E2D" w:rsidP="002D0F99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Wilder Eduardo Quisbert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895CF9" w:rsidRDefault="00417E2D" w:rsidP="002D0F9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895CF9" w:rsidRDefault="00417E2D" w:rsidP="002D0F9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</w:t>
            </w:r>
            <w:r w:rsidRPr="00F329E2">
              <w:rPr>
                <w:rFonts w:ascii="Arial" w:hAnsi="Arial" w:cs="Arial"/>
                <w:sz w:val="13"/>
                <w:szCs w:val="13"/>
                <w:lang w:val="es-BO" w:eastAsia="es-BO"/>
              </w:rPr>
              <w:t>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.</w:t>
            </w:r>
            <w:r w:rsidRPr="00F329E2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  <w:r w:rsidRPr="009A0BE7">
              <w:rPr>
                <w:rFonts w:ascii="Arial" w:hAnsi="Arial" w:cs="Arial"/>
                <w:sz w:val="13"/>
                <w:szCs w:val="13"/>
                <w:lang w:val="es-BO" w:eastAsia="es-BO"/>
              </w:rPr>
              <w:t>de Base de Datos y Comunicaciones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</w:p>
        </w:tc>
      </w:tr>
      <w:tr w:rsidR="00417E2D" w:rsidRPr="009956C4" w:rsidTr="002D0F99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17E2D" w:rsidRPr="009956C4" w:rsidTr="002D0F99">
        <w:trPr>
          <w:trHeight w:val="278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FC2F68" w:rsidRDefault="00417E2D" w:rsidP="002D0F9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17E2D" w:rsidRPr="0006032F" w:rsidRDefault="00417E2D" w:rsidP="002D0F9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7E2D" w:rsidRPr="0006032F" w:rsidRDefault="00417E2D" w:rsidP="002D0F9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oespejo</w:t>
            </w:r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417E2D" w:rsidRPr="0006032F" w:rsidRDefault="00417E2D" w:rsidP="002D0F9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17E2D" w:rsidRDefault="00417E2D" w:rsidP="002D0F99">
            <w:pP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wquisbert</w:t>
            </w:r>
            <w:r w:rsidRPr="00E5297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17E2D" w:rsidRPr="009956C4" w:rsidRDefault="00417E2D" w:rsidP="002D0F99">
            <w:pPr>
              <w:rPr>
                <w:rFonts w:ascii="Arial" w:hAnsi="Arial" w:cs="Arial"/>
                <w:lang w:val="es-BO"/>
              </w:rPr>
            </w:pPr>
          </w:p>
        </w:tc>
      </w:tr>
      <w:tr w:rsidR="00417E2D" w:rsidRPr="009956C4" w:rsidTr="002D0F99">
        <w:trPr>
          <w:trHeight w:val="40"/>
        </w:trPr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17E2D" w:rsidRPr="00EB26CC" w:rsidRDefault="00417E2D" w:rsidP="002D0F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17E2D" w:rsidRPr="009956C4" w:rsidTr="002D0F99">
        <w:trPr>
          <w:trHeight w:val="391"/>
        </w:trPr>
        <w:tc>
          <w:tcPr>
            <w:tcW w:w="3090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4242BF" w:rsidRDefault="00417E2D" w:rsidP="002D0F99">
            <w:pPr>
              <w:rPr>
                <w:rFonts w:ascii="Arial" w:hAnsi="Arial" w:cs="Arial"/>
                <w:sz w:val="14"/>
                <w:szCs w:val="2"/>
                <w:lang w:val="es-419"/>
              </w:rPr>
            </w:pPr>
            <w:r w:rsidRPr="004242BF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242BF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4242BF" w:rsidRDefault="00417E2D" w:rsidP="002D0F9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E17C59">
              <w:rPr>
                <w:rFonts w:ascii="Arial" w:hAnsi="Arial" w:cs="Arial"/>
                <w:sz w:val="14"/>
              </w:rPr>
              <w:t>“No aplica en el presente proceso de contratación”.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7E2D" w:rsidRPr="009956C4" w:rsidTr="002D0F99">
        <w:trPr>
          <w:trHeight w:val="126"/>
        </w:trPr>
        <w:tc>
          <w:tcPr>
            <w:tcW w:w="3090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17E2D" w:rsidRPr="009956C4" w:rsidRDefault="00417E2D" w:rsidP="002D0F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17E2D" w:rsidRDefault="00417E2D" w:rsidP="00417E2D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94726526"/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Default="00417E2D" w:rsidP="00417E2D">
      <w:pPr>
        <w:rPr>
          <w:lang w:val="es-BO"/>
        </w:rPr>
      </w:pPr>
    </w:p>
    <w:p w:rsidR="00417E2D" w:rsidRPr="00A5556D" w:rsidRDefault="00417E2D" w:rsidP="00417E2D">
      <w:pPr>
        <w:rPr>
          <w:lang w:val="es-BO"/>
        </w:rPr>
      </w:pPr>
    </w:p>
    <w:p w:rsidR="00417E2D" w:rsidRPr="009956C4" w:rsidRDefault="00417E2D" w:rsidP="00417E2D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417E2D" w:rsidRPr="00490001" w:rsidRDefault="00417E2D" w:rsidP="00417E2D">
      <w:pPr>
        <w:rPr>
          <w:sz w:val="10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417E2D" w:rsidRPr="00490001" w:rsidTr="002D0F99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2D" w:rsidRPr="00490001" w:rsidRDefault="00417E2D" w:rsidP="002D0F9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90001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17E2D" w:rsidRPr="00490001" w:rsidRDefault="00417E2D" w:rsidP="00417E2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17E2D" w:rsidRPr="00490001" w:rsidRDefault="00417E2D" w:rsidP="00417E2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417E2D" w:rsidRPr="00490001" w:rsidRDefault="00417E2D" w:rsidP="00417E2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17E2D" w:rsidRPr="00490001" w:rsidRDefault="00417E2D" w:rsidP="002D0F9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17E2D" w:rsidRPr="00490001" w:rsidRDefault="00417E2D" w:rsidP="00417E2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90001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17E2D" w:rsidRPr="00490001" w:rsidRDefault="00417E2D" w:rsidP="00417E2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90001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17E2D" w:rsidRPr="00490001" w:rsidRDefault="00417E2D" w:rsidP="002D0F99">
            <w:pPr>
              <w:ind w:left="113" w:right="113"/>
              <w:jc w:val="both"/>
              <w:rPr>
                <w:sz w:val="14"/>
                <w:lang w:val="es-BO"/>
              </w:rPr>
            </w:pPr>
            <w:r w:rsidRPr="00490001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417E2D" w:rsidRPr="009956C4" w:rsidRDefault="00417E2D" w:rsidP="00417E2D">
      <w:pPr>
        <w:jc w:val="right"/>
        <w:rPr>
          <w:rFonts w:ascii="Arial" w:hAnsi="Arial" w:cs="Arial"/>
          <w:lang w:val="es-BO"/>
        </w:rPr>
      </w:pPr>
    </w:p>
    <w:p w:rsidR="00417E2D" w:rsidRPr="009956C4" w:rsidRDefault="00417E2D" w:rsidP="00417E2D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17E2D" w:rsidRPr="00865FD3" w:rsidRDefault="00417E2D" w:rsidP="00417E2D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417E2D" w:rsidRPr="009956C4" w:rsidTr="002D0F9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17E2D" w:rsidRPr="009956C4" w:rsidTr="002D0F9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418B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23AFC">
              <w:rPr>
                <w:rFonts w:ascii="Arial" w:hAnsi="Arial" w:cs="Arial"/>
                <w:sz w:val="14"/>
                <w:lang w:val="es-BO"/>
              </w:rPr>
              <w:t>Instalaciones del Edificio Principal del BCB, ubicado en la calle Ayacucho esq. Mercado del Departamento de La Paz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DD418B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418B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0745C6">
              <w:rPr>
                <w:rFonts w:ascii="Arial" w:hAnsi="Arial" w:cs="Arial"/>
                <w:sz w:val="12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DD418B" w:rsidRDefault="00417E2D" w:rsidP="002D0F9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15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DD6359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DD6359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FC4040" w:rsidRDefault="00417E2D" w:rsidP="002D0F99">
            <w:pPr>
              <w:widowControl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745C6">
              <w:rPr>
                <w:rFonts w:ascii="Arial" w:hAnsi="Arial" w:cs="Arial"/>
                <w:sz w:val="12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471994" w:rsidRDefault="00417E2D" w:rsidP="002D0F9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417E2D" w:rsidRPr="00471994" w:rsidRDefault="00417E2D" w:rsidP="00417E2D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417E2D" w:rsidRPr="00CF58FE" w:rsidRDefault="00417E2D" w:rsidP="002D0F9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47199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17E2D" w:rsidRPr="009956C4" w:rsidTr="002D0F9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17E2D" w:rsidRPr="009956C4" w:rsidTr="002D0F9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Default="00417E2D" w:rsidP="002D0F9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417E2D" w:rsidRPr="00952108" w:rsidRDefault="00417E2D" w:rsidP="002D0F99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hyperlink r:id="rId6" w:history="1">
              <w:r w:rsidRPr="00952108">
                <w:rPr>
                  <w:rStyle w:val="Hipervnculo"/>
                  <w:rFonts w:ascii="Arial" w:hAnsi="Arial" w:cs="Arial"/>
                  <w:sz w:val="12"/>
                </w:rPr>
                <w:t>https://bcb-gob-bo.zoom.us/j/88049837235?pwd=bJ5uhDR8TjtqUUHnPIkcB733WAPGFJ.1</w:t>
              </w:r>
            </w:hyperlink>
            <w:r w:rsidRPr="00952108">
              <w:rPr>
                <w:rFonts w:ascii="Arial" w:hAnsi="Arial" w:cs="Arial"/>
                <w:sz w:val="12"/>
              </w:rPr>
              <w:t xml:space="preserve"> </w:t>
            </w:r>
          </w:p>
          <w:p w:rsidR="00417E2D" w:rsidRPr="001E4320" w:rsidRDefault="00417E2D" w:rsidP="002D0F99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952108">
              <w:rPr>
                <w:rFonts w:ascii="Arial" w:hAnsi="Arial" w:cs="Arial"/>
                <w:sz w:val="12"/>
                <w:szCs w:val="4"/>
                <w:lang w:val="es-BO"/>
              </w:rPr>
              <w:t>880 4983 7235</w:t>
            </w:r>
          </w:p>
          <w:p w:rsidR="00417E2D" w:rsidRPr="009956C4" w:rsidRDefault="00417E2D" w:rsidP="002D0F99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E4320">
              <w:rPr>
                <w:rFonts w:ascii="Arial" w:hAnsi="Arial" w:cs="Arial"/>
                <w:sz w:val="12"/>
                <w:szCs w:val="12"/>
              </w:rPr>
              <w:t>Código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 de acceso:</w:t>
            </w:r>
            <w:r w:rsidRPr="001E432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108">
              <w:rPr>
                <w:rFonts w:ascii="Arial" w:hAnsi="Arial" w:cs="Arial"/>
                <w:sz w:val="12"/>
                <w:szCs w:val="12"/>
              </w:rPr>
              <w:t>238796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17E2D" w:rsidRPr="009956C4" w:rsidTr="002D0F99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865FD3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9956C4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9956C4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9956C4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A244D6" w:rsidTr="002D0F9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17E2D" w:rsidRPr="00A244D6" w:rsidTr="002D0F9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7E2D" w:rsidRPr="00A244D6" w:rsidRDefault="00417E2D" w:rsidP="002D0F9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7E2D" w:rsidRPr="00A244D6" w:rsidRDefault="00417E2D" w:rsidP="002D0F9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A244D6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17E2D" w:rsidRPr="00AB2AC8" w:rsidTr="002D0F9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7E2D" w:rsidRPr="00AB2AC8" w:rsidRDefault="00417E2D" w:rsidP="002D0F9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7E2D" w:rsidRPr="00AB2AC8" w:rsidRDefault="00417E2D" w:rsidP="002D0F9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2D" w:rsidRPr="00AB2AC8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2D" w:rsidRPr="00AB2AC8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AB2AC8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7E2D" w:rsidRPr="00AB2AC8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17E2D" w:rsidRPr="00AB2AC8" w:rsidRDefault="00417E2D" w:rsidP="002D0F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17E2D" w:rsidRPr="00944754" w:rsidRDefault="00417E2D" w:rsidP="00417E2D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417E2D" w:rsidRDefault="00417E2D" w:rsidP="00417E2D">
      <w:pPr>
        <w:rPr>
          <w:rFonts w:cs="Arial"/>
          <w:i/>
          <w:sz w:val="14"/>
          <w:szCs w:val="18"/>
          <w:lang w:val="es-BO"/>
        </w:rPr>
      </w:pPr>
    </w:p>
    <w:p w:rsidR="00417E2D" w:rsidRDefault="00417E2D" w:rsidP="00417E2D">
      <w:pPr>
        <w:pStyle w:val="Ttulo1"/>
        <w:numPr>
          <w:ilvl w:val="0"/>
          <w:numId w:val="0"/>
        </w:numPr>
        <w:ind w:left="567"/>
        <w:jc w:val="both"/>
        <w:rPr>
          <w:rFonts w:ascii="Verdana" w:hAnsi="Verdana" w:cs="Arial"/>
          <w:sz w:val="18"/>
          <w:szCs w:val="18"/>
          <w:u w:val="none"/>
          <w:lang w:val="es-BO"/>
        </w:rPr>
      </w:pPr>
    </w:p>
    <w:p w:rsidR="00AA74FA" w:rsidRDefault="00417E2D">
      <w:bookmarkStart w:id="4" w:name="_GoBack"/>
      <w:bookmarkEnd w:id="4"/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183E6FEC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2D"/>
    <w:rsid w:val="002D1E51"/>
    <w:rsid w:val="002F0110"/>
    <w:rsid w:val="00417E2D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678D-5289-4C7C-AE85-0D9FBC9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417E2D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17E2D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17E2D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417E2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E2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17E2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417E2D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417E2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1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417E2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17E2D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417E2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17E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17E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8049837235?pwd=bJ5uhDR8TjtqUUHnPIkcB733WAPGFJ.1" TargetMode="Externa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2025-04-23T22:39:00Z</dcterms:created>
  <dcterms:modified xsi:type="dcterms:W3CDTF">2025-04-23T22:40:00Z</dcterms:modified>
</cp:coreProperties>
</file>