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8" w:type="dxa"/>
        <w:jc w:val="center"/>
        <w:tblInd w:w="-5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92"/>
        <w:gridCol w:w="160"/>
        <w:gridCol w:w="1893"/>
        <w:gridCol w:w="88"/>
        <w:gridCol w:w="72"/>
        <w:gridCol w:w="88"/>
        <w:gridCol w:w="86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202"/>
        <w:gridCol w:w="190"/>
        <w:gridCol w:w="12"/>
        <w:gridCol w:w="82"/>
        <w:gridCol w:w="139"/>
        <w:gridCol w:w="50"/>
        <w:gridCol w:w="6"/>
        <w:gridCol w:w="104"/>
        <w:gridCol w:w="276"/>
        <w:gridCol w:w="212"/>
        <w:gridCol w:w="185"/>
        <w:gridCol w:w="282"/>
        <w:gridCol w:w="131"/>
        <w:gridCol w:w="418"/>
        <w:gridCol w:w="107"/>
        <w:gridCol w:w="151"/>
        <w:gridCol w:w="35"/>
        <w:gridCol w:w="187"/>
        <w:gridCol w:w="370"/>
        <w:gridCol w:w="226"/>
        <w:gridCol w:w="220"/>
        <w:gridCol w:w="1059"/>
        <w:gridCol w:w="168"/>
        <w:gridCol w:w="168"/>
      </w:tblGrid>
      <w:tr w:rsidR="00BF407F" w:rsidRPr="00673E6A" w:rsidTr="00014942">
        <w:trPr>
          <w:gridBefore w:val="2"/>
          <w:gridAfter w:val="2"/>
          <w:wBefore w:w="990" w:type="dxa"/>
          <w:wAfter w:w="336" w:type="dxa"/>
          <w:trHeight w:val="136"/>
          <w:jc w:val="center"/>
        </w:trPr>
        <w:tc>
          <w:tcPr>
            <w:tcW w:w="10552" w:type="dxa"/>
            <w:gridSpan w:val="47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2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8"/>
              <w:gridCol w:w="9907"/>
            </w:tblGrid>
            <w:tr w:rsidR="00BF407F" w:rsidRPr="00673E6A" w:rsidTr="00014942">
              <w:trPr>
                <w:trHeight w:val="1222"/>
              </w:trPr>
              <w:tc>
                <w:tcPr>
                  <w:tcW w:w="274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17843024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0A526C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01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FE7BA0" w:rsidRPr="00673E6A" w:rsidTr="00014942">
        <w:trPr>
          <w:gridBefore w:val="2"/>
          <w:wBefore w:w="990" w:type="dxa"/>
          <w:trHeight w:val="48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0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3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E7BA0" w:rsidRPr="00673E6A" w:rsidRDefault="00FE7BA0" w:rsidP="007F357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  <w:tr w:rsidR="00014942" w:rsidRPr="00014942" w:rsidTr="00014942">
        <w:tblPrEx>
          <w:jc w:val="left"/>
        </w:tblPrEx>
        <w:trPr>
          <w:gridAfter w:val="3"/>
          <w:wAfter w:w="1395" w:type="dxa"/>
          <w:trHeight w:val="136"/>
        </w:trPr>
        <w:tc>
          <w:tcPr>
            <w:tcW w:w="10483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</w:rPr>
              <w:t xml:space="preserve">. </w:t>
            </w: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014942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57"/>
        </w:trPr>
        <w:tc>
          <w:tcPr>
            <w:tcW w:w="10483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2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235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235"/>
        </w:trPr>
        <w:tc>
          <w:tcPr>
            <w:tcW w:w="3043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375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80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014942" w:rsidRPr="00014942" w:rsidTr="00DA46EA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E00209" w:rsidP="00014942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E00209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E00209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E00209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E00209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E00209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942" w:rsidRPr="00014942" w:rsidRDefault="00014942" w:rsidP="0001494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014942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14942" w:rsidRPr="00014942" w:rsidRDefault="00014942" w:rsidP="00014942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156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lang w:val="es-BO" w:eastAsia="es-BO"/>
              </w:rPr>
              <w:t>ANPE-C N° 001/2016-1C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shd w:val="clear" w:color="000000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shd w:val="clear" w:color="000000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8" w:type="dxa"/>
            <w:shd w:val="clear" w:color="000000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shd w:val="clear" w:color="000000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shd w:val="clear" w:color="000000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366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014942" w:rsidRPr="00014942" w:rsidRDefault="00014942" w:rsidP="00014942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014942" w:rsidRPr="00014942" w:rsidRDefault="00014942" w:rsidP="00014942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>PROVISION E INSTALACION DE UN SISTEMA INTEGRADO DE SEGURIDAD PARA EL SITIO ALTERNO DE PROCESAMIENTO (SAP) ACHUMANI CALLE 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289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904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5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20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014942" w:rsidRPr="00014942" w:rsidRDefault="00014942" w:rsidP="00014942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014942" w:rsidRPr="00014942" w:rsidRDefault="00014942" w:rsidP="00014942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3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28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iCs/>
                <w:lang w:val="es-BO" w:eastAsia="es-BO"/>
              </w:rPr>
              <w:t>Bs78.562,00</w:t>
            </w:r>
            <w:r w:rsidRPr="00014942">
              <w:rPr>
                <w:rFonts w:ascii="Arial" w:hAnsi="Arial" w:cs="Arial"/>
                <w:iCs/>
                <w:lang w:val="es-BO" w:eastAsia="es-BO"/>
              </w:rPr>
              <w:t xml:space="preserve"> (Setenta y ocho mil quinientos sesenta y dos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3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345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014942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303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96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40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303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4" w:type="dxa"/>
            <w:gridSpan w:val="35"/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171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80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14942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300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86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014942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szCs w:val="14"/>
              </w:rPr>
              <w:t xml:space="preserve">Plazo de entrega provisional (sujeto a verificación) 30 días calendario a partir del primer día hábil posterior a la firma de contrato.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4" w:type="dxa"/>
            <w:gridSpan w:val="3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60" w:type="dxa"/>
            <w:gridSpan w:val="4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</w:rPr>
              <w:t>Unidad de Activos Fijos del BCB, Piso 5 del edificio Principal del Banco Central de Bolivia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250"/>
        </w:trPr>
        <w:tc>
          <w:tcPr>
            <w:tcW w:w="304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60" w:type="dxa"/>
            <w:gridSpan w:val="4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4" w:type="dxa"/>
            <w:gridSpan w:val="3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98"/>
        </w:trPr>
        <w:tc>
          <w:tcPr>
            <w:tcW w:w="3043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44" w:type="dxa"/>
            <w:gridSpan w:val="3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014942">
              <w:rPr>
                <w:rFonts w:ascii="Arial" w:hAnsi="Arial" w:cs="Arial"/>
              </w:rPr>
              <w:t>Bienes para la gestión en curso.</w:t>
            </w:r>
          </w:p>
          <w:p w:rsidR="00014942" w:rsidRPr="00014942" w:rsidRDefault="00014942" w:rsidP="00014942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4" w:type="dxa"/>
            <w:gridSpan w:val="39"/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44" w:type="dxa"/>
            <w:gridSpan w:val="3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014942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44" w:type="dxa"/>
            <w:gridSpan w:val="36"/>
            <w:shd w:val="clear" w:color="auto" w:fill="auto"/>
            <w:vAlign w:val="center"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04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44" w:type="dxa"/>
            <w:gridSpan w:val="3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014942">
              <w:rPr>
                <w:rFonts w:ascii="Arial" w:hAnsi="Arial" w:cs="Arial"/>
              </w:rPr>
              <w:t>Bienes para la próxima gestión (</w:t>
            </w:r>
            <w:r w:rsidRPr="00014942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014942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27"/>
        </w:trPr>
        <w:tc>
          <w:tcPr>
            <w:tcW w:w="10263" w:type="dxa"/>
            <w:gridSpan w:val="4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27"/>
        </w:trPr>
        <w:tc>
          <w:tcPr>
            <w:tcW w:w="10263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014942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57"/>
        </w:trPr>
        <w:tc>
          <w:tcPr>
            <w:tcW w:w="10483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57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262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72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57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14942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14942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0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14942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82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 xml:space="preserve">Boris Iturri Ortiz  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14942" w:rsidRPr="00014942" w:rsidRDefault="00014942" w:rsidP="00014942">
            <w:pPr>
              <w:snapToGrid w:val="0"/>
              <w:jc w:val="both"/>
              <w:rPr>
                <w:rFonts w:ascii="Calibri" w:hAnsi="Calibri"/>
                <w:lang w:eastAsia="en-US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Administrador del Sistema de Seguridad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 xml:space="preserve">Subgerencia de Gestión de Riesgos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374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7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7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9"/>
        </w:trPr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014942" w:rsidRPr="00014942" w:rsidRDefault="00014942" w:rsidP="00014942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Cs/>
                <w:lang w:val="es-BO" w:eastAsia="es-BO"/>
              </w:rPr>
              <w:t xml:space="preserve"> 1152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4942" w:rsidRPr="00014942" w:rsidRDefault="007735E5" w:rsidP="00014942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014942" w:rsidRPr="00014942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014942" w:rsidRPr="0001494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014942" w:rsidRPr="00014942" w:rsidRDefault="00014942" w:rsidP="00014942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proofErr w:type="spellStart"/>
            <w:r w:rsidRPr="00014942">
              <w:t>biturri</w:t>
            </w:r>
            <w:proofErr w:type="spellEnd"/>
            <w:hyperlink r:id="rId9" w:history="1">
              <w:r w:rsidRPr="00014942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01494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014942">
        <w:tblPrEx>
          <w:jc w:val="left"/>
        </w:tblPrEx>
        <w:trPr>
          <w:gridAfter w:val="3"/>
          <w:wAfter w:w="1395" w:type="dxa"/>
          <w:trHeight w:val="42"/>
        </w:trPr>
        <w:tc>
          <w:tcPr>
            <w:tcW w:w="31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14942" w:rsidRPr="00014942" w:rsidRDefault="00014942" w:rsidP="00014942">
      <w:pPr>
        <w:ind w:left="-1134"/>
        <w:rPr>
          <w:rFonts w:ascii="Arial" w:hAnsi="Arial" w:cs="Arial"/>
        </w:rPr>
      </w:pPr>
    </w:p>
    <w:p w:rsidR="00014942" w:rsidRPr="00014942" w:rsidRDefault="00014942" w:rsidP="00014942">
      <w:pPr>
        <w:ind w:left="-1134"/>
        <w:rPr>
          <w:rFonts w:ascii="Arial" w:hAnsi="Arial" w:cs="Arial"/>
        </w:rPr>
      </w:pPr>
    </w:p>
    <w:p w:rsidR="00014942" w:rsidRPr="00014942" w:rsidRDefault="00014942" w:rsidP="00014942">
      <w:pPr>
        <w:ind w:left="-1134"/>
        <w:rPr>
          <w:rFonts w:ascii="Arial" w:hAnsi="Arial" w:cs="Arial"/>
        </w:rPr>
      </w:pPr>
    </w:p>
    <w:p w:rsidR="00014942" w:rsidRPr="00014942" w:rsidRDefault="00014942" w:rsidP="00014942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014942" w:rsidRPr="00014942" w:rsidTr="00DA46EA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br w:type="page"/>
            </w: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014942" w:rsidRPr="00014942" w:rsidTr="00DA46EA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14942" w:rsidRPr="00014942" w:rsidTr="00DA46EA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14942" w:rsidRPr="00014942" w:rsidRDefault="00014942" w:rsidP="00014942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1494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1494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1494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014942" w:rsidRPr="00014942" w:rsidTr="00DA46EA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24.02.2016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014942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7735E5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7735E5">
              <w:rPr>
                <w:rFonts w:ascii="Arial" w:hAnsi="Arial" w:cs="Arial"/>
                <w:color w:val="0000FF"/>
                <w:lang w:val="es-BO" w:eastAsia="es-BO"/>
              </w:rPr>
              <w:t>29.02.216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7735E5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7735E5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7735E5" w:rsidP="007735E5">
            <w:pPr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735E5">
              <w:rPr>
                <w:rFonts w:ascii="Arial" w:hAnsi="Arial" w:cs="Arial"/>
                <w:lang w:eastAsia="en-US"/>
              </w:rPr>
              <w:t xml:space="preserve">Piso 5 del Edificio Principal del BCB (Subgerencia de </w:t>
            </w:r>
            <w:r w:rsidRPr="007735E5">
              <w:rPr>
                <w:rFonts w:ascii="Arial" w:hAnsi="Arial" w:cs="Arial"/>
                <w:lang w:eastAsia="en-US"/>
              </w:rPr>
              <w:t>gestión</w:t>
            </w:r>
            <w:bookmarkStart w:id="2" w:name="_GoBack"/>
            <w:bookmarkEnd w:id="2"/>
            <w:r w:rsidRPr="007735E5">
              <w:rPr>
                <w:rFonts w:ascii="Arial" w:hAnsi="Arial" w:cs="Arial"/>
                <w:lang w:eastAsia="en-US"/>
              </w:rPr>
              <w:t xml:space="preserve"> de Riesgos)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94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014942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942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014942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942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02.03.2016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014942" w:rsidP="0001494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14942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014942" w:rsidRPr="00014942" w:rsidRDefault="00014942" w:rsidP="00014942">
            <w:pPr>
              <w:jc w:val="both"/>
              <w:rPr>
                <w:rFonts w:ascii="Arial" w:hAnsi="Arial" w:cs="Arial"/>
                <w:lang w:eastAsia="en-US"/>
              </w:rPr>
            </w:pPr>
            <w:r w:rsidRPr="00014942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014942" w:rsidRPr="00014942" w:rsidRDefault="00014942" w:rsidP="00014942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014942" w:rsidRPr="00014942" w:rsidRDefault="00014942" w:rsidP="0001494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14942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31.03.2016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04.04.2016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06.04.2016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13.04.2016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14942">
              <w:rPr>
                <w:rFonts w:ascii="Arial" w:hAnsi="Arial" w:cs="Arial"/>
                <w:color w:val="0000FF"/>
                <w:lang w:val="es-BO" w:eastAsia="es-BO"/>
              </w:rPr>
              <w:t>28.04.2016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014942" w:rsidRPr="00014942" w:rsidRDefault="00014942" w:rsidP="0001494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1494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14942" w:rsidRPr="00014942" w:rsidTr="00DA46EA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14942" w:rsidRPr="00014942" w:rsidRDefault="00014942" w:rsidP="000149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94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14942" w:rsidRPr="00014942" w:rsidRDefault="00014942" w:rsidP="00014942">
      <w:pPr>
        <w:ind w:left="-1134"/>
        <w:rPr>
          <w:rFonts w:ascii="Arial" w:hAnsi="Arial" w:cs="Arial"/>
        </w:rPr>
      </w:pPr>
      <w:r w:rsidRPr="00014942">
        <w:rPr>
          <w:rFonts w:ascii="Arial" w:hAnsi="Arial" w:cs="Arial"/>
        </w:rPr>
        <w:t xml:space="preserve">                            Todos los plazos son de cumplimiento obligatorio, de acuerdo con lo establecido en el artículo 47 de las NB-SABS.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347DF4"/>
    <w:rsid w:val="007735E5"/>
    <w:rsid w:val="008B37C9"/>
    <w:rsid w:val="00A242A2"/>
    <w:rsid w:val="00BF407F"/>
    <w:rsid w:val="00E00209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5</cp:revision>
  <dcterms:created xsi:type="dcterms:W3CDTF">2016-02-23T19:13:00Z</dcterms:created>
  <dcterms:modified xsi:type="dcterms:W3CDTF">2016-02-24T22:17:00Z</dcterms:modified>
</cp:coreProperties>
</file>