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41" w:rsidRPr="00B34941" w:rsidRDefault="00B34941" w:rsidP="00B34941">
      <w:p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969"/>
        <w:gridCol w:w="283"/>
        <w:gridCol w:w="281"/>
        <w:gridCol w:w="282"/>
        <w:gridCol w:w="272"/>
        <w:gridCol w:w="277"/>
        <w:gridCol w:w="276"/>
        <w:gridCol w:w="281"/>
        <w:gridCol w:w="277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809"/>
        <w:gridCol w:w="809"/>
        <w:gridCol w:w="272"/>
      </w:tblGrid>
      <w:tr w:rsidR="00B34941" w:rsidRPr="00B34941" w:rsidTr="00B34941">
        <w:trPr>
          <w:trHeight w:val="1315"/>
          <w:jc w:val="center"/>
        </w:trPr>
        <w:tc>
          <w:tcPr>
            <w:tcW w:w="1382" w:type="dxa"/>
            <w:tcBorders>
              <w:top w:val="single" w:sz="12" w:space="0" w:color="244061"/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C57E6E">
              <w:rPr>
                <w:rFonts w:ascii="Arial" w:eastAsiaTheme="minorHAnsi" w:hAnsi="Arial" w:cs="Arial"/>
                <w:b/>
                <w:bCs/>
                <w:sz w:val="22"/>
                <w:szCs w:val="22"/>
                <w:lang w:val="es-BO" w:eastAsia="en-US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5pt;height:60.5pt" o:ole="">
                  <v:imagedata r:id="rId6" o:title="" gain="45875f" blacklevel="13107f" grayscale="t"/>
                </v:shape>
                <o:OLEObject Type="Embed" ProgID="MSPhotoEd.3" ShapeID="_x0000_i1025" DrawAspect="Content" ObjectID="_1680606238" r:id="rId7"/>
              </w:object>
            </w:r>
          </w:p>
        </w:tc>
        <w:tc>
          <w:tcPr>
            <w:tcW w:w="8964" w:type="dxa"/>
            <w:gridSpan w:val="26"/>
            <w:tcBorders>
              <w:top w:val="single" w:sz="12" w:space="0" w:color="244061"/>
              <w:left w:val="single" w:sz="4" w:space="0" w:color="auto"/>
              <w:right w:val="single" w:sz="12" w:space="0" w:color="244061"/>
            </w:tcBorders>
            <w:shd w:val="clear" w:color="auto" w:fill="0070C0"/>
            <w:vAlign w:val="center"/>
          </w:tcPr>
          <w:p w:rsidR="00B34941" w:rsidRPr="00A40DB3" w:rsidRDefault="00B34941" w:rsidP="005D4DDD">
            <w:pPr>
              <w:pStyle w:val="Ttulo5"/>
              <w:numPr>
                <w:ilvl w:val="0"/>
                <w:numId w:val="0"/>
              </w:numPr>
              <w:ind w:left="84"/>
              <w:jc w:val="center"/>
              <w:outlineLvl w:val="4"/>
              <w:rPr>
                <w:rFonts w:ascii="Arial" w:hAnsi="Arial" w:cs="Arial"/>
                <w:color w:val="FFFFFF"/>
                <w:sz w:val="22"/>
                <w:szCs w:val="24"/>
              </w:rPr>
            </w:pPr>
            <w:r w:rsidRPr="00A40DB3"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B34941" w:rsidRPr="00AC207A" w:rsidRDefault="00B34941" w:rsidP="005D4DDD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AC207A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B34941" w:rsidRPr="00AC207A" w:rsidRDefault="00B34941" w:rsidP="005D4DDD">
            <w:pPr>
              <w:pStyle w:val="Textoindependiente"/>
              <w:spacing w:after="0"/>
              <w:jc w:val="center"/>
              <w:rPr>
                <w:rFonts w:ascii="Arial Black" w:hAnsi="Arial Black" w:cs="Arial"/>
                <w:b/>
                <w:color w:val="FFFFFF"/>
              </w:rPr>
            </w:pPr>
            <w:bookmarkStart w:id="0" w:name="_GoBack"/>
            <w:bookmarkEnd w:id="0"/>
            <w:r w:rsidRPr="00AC207A"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B34941" w:rsidRPr="00B34941" w:rsidRDefault="00B34941" w:rsidP="005D4DDD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AC207A">
              <w:rPr>
                <w:rFonts w:ascii="Arial" w:hAnsi="Arial" w:cs="Arial"/>
                <w:color w:val="FFFFFF"/>
                <w:sz w:val="24"/>
              </w:rPr>
              <w:t>CÓDIGO BCB:  ANPE-</w:t>
            </w:r>
            <w:r>
              <w:rPr>
                <w:rFonts w:ascii="Arial" w:hAnsi="Arial" w:cs="Arial"/>
                <w:color w:val="FFFFFF"/>
                <w:sz w:val="24"/>
              </w:rPr>
              <w:t>P</w:t>
            </w:r>
            <w:r w:rsidRPr="00AC207A">
              <w:rPr>
                <w:rFonts w:ascii="Arial" w:hAnsi="Arial" w:cs="Arial"/>
                <w:color w:val="FFFFFF"/>
                <w:sz w:val="24"/>
              </w:rPr>
              <w:t xml:space="preserve"> Nº </w:t>
            </w:r>
            <w:r>
              <w:rPr>
                <w:rFonts w:ascii="Arial" w:hAnsi="Arial" w:cs="Arial"/>
                <w:color w:val="FFFFFF"/>
                <w:sz w:val="24"/>
              </w:rPr>
              <w:t>004</w:t>
            </w:r>
            <w:r w:rsidRPr="00AC207A">
              <w:rPr>
                <w:rFonts w:ascii="Arial" w:hAnsi="Arial" w:cs="Arial"/>
                <w:color w:val="FFFFFF"/>
                <w:sz w:val="24"/>
              </w:rPr>
              <w:t>/20</w:t>
            </w:r>
            <w:r>
              <w:rPr>
                <w:rFonts w:ascii="Arial" w:hAnsi="Arial" w:cs="Arial"/>
                <w:color w:val="FFFFFF"/>
                <w:sz w:val="24"/>
              </w:rPr>
              <w:t>21-</w:t>
            </w:r>
            <w:r w:rsidR="005D4DDD">
              <w:rPr>
                <w:rFonts w:ascii="Arial" w:hAnsi="Arial" w:cs="Arial"/>
                <w:color w:val="FFFFFF"/>
                <w:sz w:val="24"/>
              </w:rPr>
              <w:t>2</w:t>
            </w:r>
            <w:r w:rsidRPr="00AC207A">
              <w:rPr>
                <w:rFonts w:ascii="Arial" w:hAnsi="Arial" w:cs="Arial"/>
                <w:color w:val="FFFFFF"/>
                <w:sz w:val="24"/>
              </w:rPr>
              <w:t>C</w:t>
            </w:r>
          </w:p>
        </w:tc>
      </w:tr>
      <w:tr w:rsidR="00B34941" w:rsidRPr="00B34941" w:rsidTr="00B34941">
        <w:trPr>
          <w:trHeight w:val="397"/>
          <w:jc w:val="center"/>
        </w:trPr>
        <w:tc>
          <w:tcPr>
            <w:tcW w:w="10346" w:type="dxa"/>
            <w:gridSpan w:val="27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34941" w:rsidRPr="00B34941" w:rsidRDefault="00B34941" w:rsidP="005D4DDD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B34941" w:rsidRPr="00B34941" w:rsidTr="00B34941">
        <w:trPr>
          <w:jc w:val="center"/>
        </w:trPr>
        <w:tc>
          <w:tcPr>
            <w:tcW w:w="10346" w:type="dxa"/>
            <w:gridSpan w:val="2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B34941" w:rsidRPr="00B34941" w:rsidTr="00B34941">
        <w:trPr>
          <w:trHeight w:val="237"/>
          <w:jc w:val="center"/>
        </w:trPr>
        <w:tc>
          <w:tcPr>
            <w:tcW w:w="2366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bCs/>
                <w:iCs/>
                <w:color w:val="0000FF"/>
                <w:sz w:val="16"/>
                <w:szCs w:val="16"/>
                <w:lang w:eastAsia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trHeight w:val="45"/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color w:val="0000FF"/>
                <w:sz w:val="16"/>
                <w:szCs w:val="16"/>
                <w:lang w:eastAsia="es-BO"/>
              </w:rPr>
              <w:t>ANPE - C N° 004/2021-2C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5"/>
        <w:gridCol w:w="305"/>
        <w:gridCol w:w="280"/>
        <w:gridCol w:w="305"/>
        <w:gridCol w:w="305"/>
        <w:gridCol w:w="305"/>
        <w:gridCol w:w="305"/>
        <w:gridCol w:w="276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0"/>
        <w:gridCol w:w="305"/>
        <w:gridCol w:w="270"/>
        <w:gridCol w:w="305"/>
        <w:gridCol w:w="808"/>
        <w:gridCol w:w="734"/>
        <w:gridCol w:w="262"/>
      </w:tblGrid>
      <w:tr w:rsidR="00B34941" w:rsidRPr="00B34941" w:rsidTr="00B34941">
        <w:trPr>
          <w:jc w:val="center"/>
        </w:trPr>
        <w:tc>
          <w:tcPr>
            <w:tcW w:w="2204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8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</w:rPr>
              <w:t>2021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trHeight w:val="435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color w:val="0000FF"/>
                <w:sz w:val="18"/>
                <w:szCs w:val="16"/>
                <w:lang w:eastAsia="es-BO"/>
              </w:rPr>
              <w:t>SERVICIO DE MANTENIMIENTO PREDICTIVO DE LOS TRANSFORMADORES ELÉCTRICOS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6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sz w:val="18"/>
                <w:szCs w:val="16"/>
              </w:rPr>
              <w:t>Bs59.720,00 (Cincuenta y nueve mil setecientos veinte 00/100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  <w:r w:rsidRPr="00B34941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B34941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bCs/>
                <w:sz w:val="18"/>
                <w:szCs w:val="18"/>
              </w:rPr>
              <w:t>El servicio deberá realizarse en el plazo máximo cuarenta y cinco (45) días calendario, computable a partir de la fecha establecida en la Orden de Proceder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00"/>
                <w:sz w:val="18"/>
                <w:szCs w:val="16"/>
                <w:lang w:eastAsia="es-BO"/>
              </w:rPr>
              <w:t>Edificio Principal del Banco Central de Bolivia en el edificio central ubicado en la Calle Ayacucho esq. Mercado. La Paz – Bolivia.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El proponente adjudicado deberá constituir la garantía del cumplimiento de contrato del 7% o del 3.5% según corresponda.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34941" w:rsidRPr="00B34941" w:rsidTr="00B34941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</w:rPr>
              <w:t>Señalar para cuando es el requerimiento del Servicio General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Servicios Generales para la gestión en curso</w:t>
            </w: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 xml:space="preserve">Servicios Generales recurrentes para la próxima gestión </w:t>
            </w:r>
            <w:r w:rsidRPr="00B34941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74"/>
        <w:gridCol w:w="273"/>
        <w:gridCol w:w="274"/>
        <w:gridCol w:w="273"/>
        <w:gridCol w:w="275"/>
        <w:gridCol w:w="236"/>
        <w:gridCol w:w="70"/>
        <w:gridCol w:w="254"/>
        <w:gridCol w:w="281"/>
        <w:gridCol w:w="282"/>
        <w:gridCol w:w="272"/>
        <w:gridCol w:w="277"/>
        <w:gridCol w:w="276"/>
        <w:gridCol w:w="208"/>
        <w:gridCol w:w="80"/>
        <w:gridCol w:w="203"/>
        <w:gridCol w:w="74"/>
        <w:gridCol w:w="210"/>
        <w:gridCol w:w="67"/>
        <w:gridCol w:w="277"/>
        <w:gridCol w:w="81"/>
        <w:gridCol w:w="193"/>
        <w:gridCol w:w="274"/>
        <w:gridCol w:w="273"/>
        <w:gridCol w:w="274"/>
        <w:gridCol w:w="120"/>
        <w:gridCol w:w="154"/>
        <w:gridCol w:w="274"/>
        <w:gridCol w:w="139"/>
        <w:gridCol w:w="135"/>
        <w:gridCol w:w="149"/>
        <w:gridCol w:w="124"/>
        <w:gridCol w:w="159"/>
        <w:gridCol w:w="115"/>
        <w:gridCol w:w="274"/>
        <w:gridCol w:w="274"/>
        <w:gridCol w:w="274"/>
        <w:gridCol w:w="273"/>
        <w:gridCol w:w="208"/>
        <w:gridCol w:w="65"/>
        <w:gridCol w:w="273"/>
        <w:gridCol w:w="273"/>
        <w:gridCol w:w="273"/>
        <w:gridCol w:w="273"/>
        <w:gridCol w:w="273"/>
      </w:tblGrid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vMerge w:val="restart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560" w:type="dxa"/>
            <w:gridSpan w:val="3"/>
            <w:vMerge w:val="restart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245" w:type="dxa"/>
            <w:gridSpan w:val="27"/>
            <w:vMerge w:val="restart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B34941" w:rsidRPr="00B34941" w:rsidRDefault="00B34941" w:rsidP="00B349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trHeight w:val="60"/>
          <w:jc w:val="center"/>
        </w:trPr>
        <w:tc>
          <w:tcPr>
            <w:tcW w:w="2082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" w:type="dxa"/>
            <w:gridSpan w:val="3"/>
            <w:vMerge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27"/>
            <w:vMerge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Merge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" w:type="dxa"/>
            <w:gridSpan w:val="3"/>
            <w:tcBorders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12"/>
                <w:szCs w:val="16"/>
              </w:rPr>
            </w:pPr>
            <w:r w:rsidRPr="00B34941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Recursos Propios del BCB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center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34941" w:rsidRPr="00B34941" w:rsidTr="00B34941">
        <w:trPr>
          <w:trHeight w:val="631"/>
          <w:jc w:val="center"/>
        </w:trPr>
        <w:tc>
          <w:tcPr>
            <w:tcW w:w="10346" w:type="dxa"/>
            <w:gridSpan w:val="4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34941" w:rsidRPr="00B34941" w:rsidRDefault="00B34941" w:rsidP="005D4DDD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B34941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  <w:p w:rsidR="00B34941" w:rsidRPr="00B34941" w:rsidRDefault="00B34941" w:rsidP="00B34941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34941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8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07:30 hasta 17:00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06" w:type="dxa"/>
            <w:gridSpan w:val="2"/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33" w:type="dxa"/>
            <w:gridSpan w:val="9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B34941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84" w:type="dxa"/>
            <w:gridSpan w:val="2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34941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83" w:type="dxa"/>
            <w:gridSpan w:val="2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75" w:type="dxa"/>
            <w:gridSpan w:val="11"/>
            <w:tcBorders>
              <w:bottom w:val="single" w:sz="4" w:space="0" w:color="auto"/>
            </w:tcBorders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34941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Verdana" w:hAnsi="Verdana" w:cs="Arial"/>
                <w:color w:val="0000FF"/>
                <w:sz w:val="16"/>
                <w:szCs w:val="15"/>
              </w:rPr>
              <w:t>Bismarck Omar Torrico Araujo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Profesional en Compras y Contrataciones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Departamento de Compras y Contrataciones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388" w:type="dxa"/>
            <w:gridSpan w:val="8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Encargado de atender consultas Técnicas</w:t>
            </w:r>
          </w:p>
        </w:tc>
        <w:tc>
          <w:tcPr>
            <w:tcW w:w="2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Verdana" w:hAnsi="Verdana" w:cs="Arial"/>
                <w:color w:val="0000FF"/>
                <w:sz w:val="16"/>
                <w:szCs w:val="15"/>
              </w:rPr>
              <w:t>José Vélez Salas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Profesional en Mantenimiento de Sistemas Eléctricos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Departamento de Mejoramiento y Mantenimiento de la Infraestructura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98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snapToGrid w:val="0"/>
              <w:rPr>
                <w:rFonts w:ascii="Arial" w:hAnsi="Arial" w:cs="Arial"/>
                <w:bCs/>
                <w:color w:val="0000FF"/>
                <w:sz w:val="16"/>
                <w:szCs w:val="16"/>
                <w:lang w:eastAsia="es-BO"/>
              </w:rPr>
            </w:pPr>
            <w:r w:rsidRPr="00B34941">
              <w:rPr>
                <w:rFonts w:ascii="Arial" w:hAnsi="Arial" w:cs="Arial"/>
                <w:bCs/>
                <w:color w:val="0000FF"/>
                <w:sz w:val="16"/>
                <w:szCs w:val="16"/>
                <w:lang w:eastAsia="es-BO"/>
              </w:rPr>
              <w:t>2409090 Internos:</w:t>
            </w:r>
          </w:p>
          <w:p w:rsidR="00B34941" w:rsidRPr="00B34941" w:rsidRDefault="00B34941" w:rsidP="00B34941">
            <w:pPr>
              <w:snapToGrid w:val="0"/>
              <w:rPr>
                <w:rFonts w:ascii="Arial" w:hAnsi="Arial" w:cs="Arial"/>
                <w:bCs/>
                <w:color w:val="0000FF"/>
                <w:sz w:val="16"/>
                <w:szCs w:val="16"/>
                <w:lang w:eastAsia="es-BO"/>
              </w:rPr>
            </w:pPr>
            <w:r w:rsidRPr="00B34941">
              <w:rPr>
                <w:rFonts w:ascii="Arial" w:hAnsi="Arial" w:cs="Arial"/>
                <w:bCs/>
                <w:color w:val="0000FF"/>
                <w:sz w:val="16"/>
                <w:szCs w:val="16"/>
                <w:lang w:eastAsia="es-BO"/>
              </w:rPr>
              <w:t>4719 (Consultas Administrativas)</w:t>
            </w:r>
          </w:p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bCs/>
                <w:color w:val="0000FF"/>
                <w:sz w:val="16"/>
                <w:szCs w:val="16"/>
                <w:lang w:eastAsia="es-BO"/>
              </w:rPr>
              <w:t>4725 (Consultas Técnicas)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7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B34941">
            <w:pPr>
              <w:snapToGrid w:val="0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hyperlink r:id="rId8" w:history="1">
              <w:r w:rsidRPr="00B34941">
                <w:rPr>
                  <w:rFonts w:ascii="Arial" w:hAnsi="Arial"/>
                  <w:color w:val="0000FF"/>
                  <w:sz w:val="16"/>
                  <w:szCs w:val="16"/>
                  <w:u w:val="single"/>
                  <w:lang w:eastAsia="es-BO"/>
                </w:rPr>
                <w:t>btorrico@bcb.gob.bo</w:t>
              </w:r>
            </w:hyperlink>
            <w:r w:rsidRPr="00B34941">
              <w:rPr>
                <w:rFonts w:ascii="Arial" w:hAnsi="Arial"/>
                <w:sz w:val="16"/>
                <w:szCs w:val="16"/>
                <w:lang w:eastAsia="es-BO"/>
              </w:rPr>
              <w:t xml:space="preserve"> </w:t>
            </w: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(Consultas Administrativas)</w:t>
            </w:r>
          </w:p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B34941">
                <w:rPr>
                  <w:rFonts w:ascii="Arial" w:hAnsi="Arial"/>
                  <w:color w:val="0000FF"/>
                  <w:sz w:val="16"/>
                  <w:szCs w:val="16"/>
                  <w:u w:val="single"/>
                  <w:lang w:eastAsia="es-BO"/>
                </w:rPr>
                <w:t>jvelez@bcb.gob.bo</w:t>
              </w:r>
            </w:hyperlink>
            <w:r w:rsidRPr="00B34941">
              <w:rPr>
                <w:rFonts w:ascii="Arial" w:hAnsi="Arial"/>
                <w:sz w:val="16"/>
                <w:szCs w:val="16"/>
                <w:lang w:eastAsia="es-BO"/>
              </w:rPr>
              <w:t xml:space="preserve"> </w:t>
            </w:r>
            <w:r w:rsidRPr="00B34941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2082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8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34941" w:rsidRPr="00B34941" w:rsidTr="00B34941">
        <w:trPr>
          <w:trHeight w:val="429"/>
          <w:jc w:val="center"/>
        </w:trPr>
        <w:tc>
          <w:tcPr>
            <w:tcW w:w="4238" w:type="dxa"/>
            <w:gridSpan w:val="15"/>
            <w:tcBorders>
              <w:left w:val="single" w:sz="12" w:space="0" w:color="244061"/>
              <w:right w:val="single" w:sz="4" w:space="0" w:color="244061"/>
            </w:tcBorders>
            <w:shd w:val="clear" w:color="auto" w:fill="auto"/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34941">
              <w:rPr>
                <w:rFonts w:ascii="Arial" w:hAnsi="Arial" w:cs="Arial"/>
                <w:sz w:val="16"/>
                <w:szCs w:val="16"/>
              </w:rPr>
              <w:t>N° de la Cuenta Corriente Fiscal para depósito por concepto de Garantía de Seriedad de Propuesta</w:t>
            </w:r>
          </w:p>
        </w:tc>
        <w:tc>
          <w:tcPr>
            <w:tcW w:w="5835" w:type="dxa"/>
            <w:gridSpan w:val="3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  <w:r w:rsidRPr="00B34941">
              <w:rPr>
                <w:rFonts w:ascii="Arial" w:hAnsi="Arial" w:cs="Arial"/>
                <w:sz w:val="14"/>
                <w:szCs w:val="16"/>
                <w:lang w:eastAsia="es-BO"/>
              </w:rPr>
              <w:t>No está vigente, de acuerdo con la Resolución Ministerial Nº 088 de fecha 29/01/2021.</w:t>
            </w:r>
          </w:p>
        </w:tc>
        <w:tc>
          <w:tcPr>
            <w:tcW w:w="273" w:type="dxa"/>
            <w:tcBorders>
              <w:left w:val="single" w:sz="4" w:space="0" w:color="244061"/>
              <w:right w:val="single" w:sz="12" w:space="0" w:color="244061"/>
            </w:tcBorders>
            <w:shd w:val="clear" w:color="auto" w:fill="auto"/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34941" w:rsidRPr="00B34941" w:rsidTr="00B34941">
        <w:trPr>
          <w:jc w:val="center"/>
        </w:trPr>
        <w:tc>
          <w:tcPr>
            <w:tcW w:w="713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  <w:vAlign w:val="center"/>
          </w:tcPr>
          <w:p w:rsidR="00B34941" w:rsidRPr="00B34941" w:rsidRDefault="00B34941" w:rsidP="00B3494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/>
              <w:right w:val="single" w:sz="12" w:space="0" w:color="244061"/>
            </w:tcBorders>
          </w:tcPr>
          <w:p w:rsidR="00B34941" w:rsidRPr="00B34941" w:rsidRDefault="00B34941" w:rsidP="00B349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B34941" w:rsidRDefault="00B34941" w:rsidP="00B3494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p w:rsidR="00B34941" w:rsidRDefault="00B34941" w:rsidP="00B3494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tbl>
      <w:tblPr>
        <w:tblW w:w="103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0"/>
        <w:gridCol w:w="134"/>
        <w:gridCol w:w="134"/>
        <w:gridCol w:w="383"/>
        <w:gridCol w:w="134"/>
        <w:gridCol w:w="389"/>
        <w:gridCol w:w="135"/>
        <w:gridCol w:w="524"/>
        <w:gridCol w:w="138"/>
        <w:gridCol w:w="134"/>
        <w:gridCol w:w="475"/>
        <w:gridCol w:w="252"/>
        <w:gridCol w:w="459"/>
        <w:gridCol w:w="135"/>
        <w:gridCol w:w="141"/>
        <w:gridCol w:w="2654"/>
        <w:gridCol w:w="142"/>
      </w:tblGrid>
      <w:tr w:rsidR="00B34941" w:rsidRPr="00B34941" w:rsidTr="00B34941">
        <w:trPr>
          <w:trHeight w:val="464"/>
          <w:jc w:val="center"/>
        </w:trPr>
        <w:tc>
          <w:tcPr>
            <w:tcW w:w="1033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B34941" w:rsidRPr="00B34941" w:rsidRDefault="00B34941" w:rsidP="00DA306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B34941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lastRenderedPageBreak/>
              <w:br w:type="page"/>
            </w:r>
            <w:r w:rsidRPr="00B34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3.    </w:t>
            </w:r>
            <w:r w:rsidRPr="00B3494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CRONOGRAMA DE PLAZOS</w:t>
            </w:r>
          </w:p>
        </w:tc>
      </w:tr>
      <w:tr w:rsidR="00B34941" w:rsidRPr="00B34941" w:rsidTr="00B34941">
        <w:trPr>
          <w:trHeight w:val="1905"/>
          <w:jc w:val="center"/>
        </w:trPr>
        <w:tc>
          <w:tcPr>
            <w:tcW w:w="1033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34941" w:rsidRPr="00B34941" w:rsidRDefault="00B34941" w:rsidP="00DA3065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B34941" w:rsidRPr="00B34941" w:rsidRDefault="00B34941" w:rsidP="005D4DDD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34941">
              <w:rPr>
                <w:rFonts w:ascii="Arial" w:eastAsia="Times New Roman" w:hAnsi="Arial" w:cs="Arial"/>
                <w:sz w:val="14"/>
                <w:szCs w:val="20"/>
              </w:rPr>
              <w:t>Presentación de propuestas:</w:t>
            </w:r>
          </w:p>
          <w:p w:rsidR="00B34941" w:rsidRPr="00B34941" w:rsidRDefault="00B34941" w:rsidP="005D4DD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34941">
              <w:rPr>
                <w:rFonts w:ascii="Arial" w:eastAsia="Times New Roman" w:hAnsi="Arial" w:cs="Arial"/>
                <w:sz w:val="14"/>
                <w:szCs w:val="20"/>
              </w:rPr>
              <w:t>Para contrataciones hasta Bs.200.000.- (DOSCIENTOS MIL 00/100 BOLIVIANOS), plazo mínimo cuatro (4) días hábiles.</w:t>
            </w:r>
          </w:p>
          <w:p w:rsidR="00B34941" w:rsidRPr="00B34941" w:rsidRDefault="00B34941" w:rsidP="005D4DD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B34941">
              <w:rPr>
                <w:rFonts w:ascii="Arial" w:eastAsia="Times New Roman" w:hAnsi="Arial" w:cs="Arial"/>
                <w:sz w:val="14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34941" w:rsidRPr="00B34941" w:rsidRDefault="00B34941" w:rsidP="00DA3065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>Ambos computables a partir del día siguiente hábil de la publicación de la convocatoria;</w:t>
            </w:r>
          </w:p>
          <w:p w:rsidR="00B34941" w:rsidRPr="00B34941" w:rsidRDefault="00B34941" w:rsidP="005D4DDD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B34941">
              <w:rPr>
                <w:rFonts w:ascii="Arial" w:eastAsia="Times New Roman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hábiles);</w:t>
            </w:r>
          </w:p>
          <w:p w:rsidR="00B34941" w:rsidRPr="00B34941" w:rsidRDefault="00B34941" w:rsidP="005D4DDD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B34941">
              <w:rPr>
                <w:rFonts w:ascii="Arial" w:eastAsia="Times New Roman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B34941" w:rsidRPr="00B34941" w:rsidRDefault="00B34941" w:rsidP="00DA3065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  <w:t>El incumplimiento a los plazos señalados será considerado como inobservancia a la normativa</w:t>
            </w:r>
          </w:p>
        </w:tc>
      </w:tr>
      <w:tr w:rsidR="00B34941" w:rsidRPr="00B34941" w:rsidTr="00B34941">
        <w:trPr>
          <w:trHeight w:val="405"/>
          <w:jc w:val="center"/>
        </w:trPr>
        <w:tc>
          <w:tcPr>
            <w:tcW w:w="1033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:rsidR="00B34941" w:rsidRPr="00B34941" w:rsidRDefault="00B34941" w:rsidP="00DA306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B34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El cronograma de plazos previsto para el proceso de contratación, es el siguiente:</w:t>
            </w: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ACTIVIDAD</w:t>
            </w:r>
          </w:p>
        </w:tc>
        <w:tc>
          <w:tcPr>
            <w:tcW w:w="18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B34941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eastAsia="es-ES"/>
              </w:rPr>
            </w:pPr>
            <w:r w:rsidRPr="00B34941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HORA</w:t>
            </w:r>
          </w:p>
        </w:tc>
        <w:tc>
          <w:tcPr>
            <w:tcW w:w="29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b/>
                <w:sz w:val="18"/>
                <w:szCs w:val="16"/>
                <w:lang w:eastAsia="es-ES"/>
              </w:rPr>
              <w:t>LUGAR Y DIRECCIÓN</w:t>
            </w: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Publicación del DBC en el SICOES</w:t>
            </w:r>
            <w:r w:rsidRPr="00B34941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Fecha límite de Presentación de PROPUESTAS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</w:pPr>
            <w:r w:rsidRPr="00B34941">
              <w:rPr>
                <w:rFonts w:ascii="Arial" w:eastAsia="Times New Roman" w:hAnsi="Arial" w:cs="Arial"/>
                <w:b/>
                <w:bCs/>
                <w:sz w:val="14"/>
                <w:szCs w:val="16"/>
                <w:lang w:val="es-ES"/>
              </w:rPr>
              <w:t>PRESENTACIÓN DE PROPUESTAS:</w:t>
            </w:r>
          </w:p>
          <w:p w:rsidR="00B34941" w:rsidRPr="00B34941" w:rsidRDefault="00B34941" w:rsidP="00DA306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6"/>
                <w:szCs w:val="10"/>
                <w:lang w:val="es-ES"/>
              </w:rPr>
            </w:pPr>
          </w:p>
          <w:p w:rsidR="00B34941" w:rsidRPr="00B34941" w:rsidRDefault="00B34941" w:rsidP="005D4DD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34941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>En forma física:</w:t>
            </w:r>
          </w:p>
          <w:p w:rsidR="00B34941" w:rsidRPr="00B34941" w:rsidRDefault="00B34941" w:rsidP="00DA3065">
            <w:pPr>
              <w:widowControl w:val="0"/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sz w:val="13"/>
                <w:szCs w:val="13"/>
                <w:lang w:val="es-ES"/>
              </w:rPr>
            </w:pPr>
            <w:r w:rsidRPr="00B34941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Ventanilla Única de Correspondencia – PB del Edificio del BCB, ubicado en el Calle Ayacucho esq. Mercado, La Paz- Bolivia, o</w:t>
            </w:r>
          </w:p>
          <w:p w:rsidR="00B34941" w:rsidRPr="00B34941" w:rsidRDefault="00B34941" w:rsidP="00DA306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es-ES"/>
              </w:rPr>
            </w:pPr>
          </w:p>
          <w:p w:rsidR="00B34941" w:rsidRPr="00B34941" w:rsidRDefault="00B34941" w:rsidP="005D4DD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34941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B34941" w:rsidRPr="00B34941" w:rsidRDefault="00B34941" w:rsidP="00DA3065">
            <w:pPr>
              <w:widowControl w:val="0"/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34941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RUPE, de acuerdo con lo establecido en el presente DBC.</w:t>
            </w:r>
          </w:p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Fecha límite de Apertura de PROPUESTAS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val="es-ES"/>
              </w:rPr>
            </w:pPr>
            <w:r w:rsidRPr="00B34941">
              <w:rPr>
                <w:rFonts w:ascii="Arial" w:eastAsia="Times New Roman" w:hAnsi="Arial" w:cs="Arial"/>
                <w:b/>
                <w:bCs/>
                <w:sz w:val="13"/>
                <w:szCs w:val="13"/>
                <w:lang w:val="es-ES"/>
              </w:rPr>
              <w:t>APERTURA DE PROPUESTAS:</w:t>
            </w:r>
          </w:p>
          <w:p w:rsidR="00B34941" w:rsidRPr="00B34941" w:rsidRDefault="00B34941" w:rsidP="00DA3065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s-ES" w:eastAsia="es-ES"/>
              </w:rPr>
            </w:pPr>
          </w:p>
          <w:p w:rsidR="00B34941" w:rsidRPr="00B34941" w:rsidRDefault="00B34941" w:rsidP="00DA3065">
            <w:pPr>
              <w:widowControl w:val="0"/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s-ES" w:eastAsia="es-ES"/>
              </w:rPr>
            </w:pPr>
            <w:r w:rsidRPr="00B34941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proofErr w:type="spellStart"/>
            <w:r w:rsidRPr="00B34941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webex</w:t>
            </w:r>
            <w:proofErr w:type="spellEnd"/>
            <w:r w:rsidRPr="00B34941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: </w:t>
            </w:r>
            <w:hyperlink r:id="rId10" w:history="1">
              <w:r w:rsidRPr="00B34941">
                <w:rPr>
                  <w:rFonts w:ascii="Helvetica" w:eastAsia="Times New Roman" w:hAnsi="Helvetica" w:cs="Helvetica"/>
                  <w:color w:val="0000FF"/>
                  <w:sz w:val="21"/>
                  <w:szCs w:val="21"/>
                  <w:u w:val="single"/>
                  <w:lang w:val="es-ES" w:eastAsia="es-ES"/>
                </w:rPr>
                <w:br/>
              </w:r>
              <w:r w:rsidRPr="00B34941">
                <w:rPr>
                  <w:rFonts w:ascii="Helvetica" w:eastAsia="Times New Roman" w:hAnsi="Helvetica" w:cs="Helvetica"/>
                  <w:color w:val="0000FF"/>
                  <w:sz w:val="12"/>
                  <w:szCs w:val="12"/>
                  <w:u w:val="single"/>
                  <w:lang w:val="es-ES" w:eastAsia="es-ES"/>
                </w:rPr>
                <w:t>https://bcbbolivia.webex.com/bcbbolivia-sp/onstage/g.php?MTID=e748a2669fb08d67f6430043dd88cdab4</w:t>
              </w:r>
            </w:hyperlink>
            <w:hyperlink w:history="1"/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es-ES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5D4DDD">
            <w:pPr>
              <w:numPr>
                <w:ilvl w:val="0"/>
                <w:numId w:val="8"/>
              </w:numPr>
              <w:adjustRightInd w:val="0"/>
              <w:snapToGrid w:val="0"/>
              <w:spacing w:after="0" w:line="240" w:lineRule="auto"/>
              <w:ind w:left="283" w:hanging="113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Suscripción de contrato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  <w:r w:rsidRPr="00B34941"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3494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34941" w:rsidRPr="00B34941" w:rsidTr="00B349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34941" w:rsidRPr="00B34941" w:rsidRDefault="00B34941" w:rsidP="00DA30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eastAsia="es-ES"/>
              </w:rPr>
            </w:pPr>
          </w:p>
        </w:tc>
      </w:tr>
    </w:tbl>
    <w:p w:rsidR="00B34941" w:rsidRPr="00B34941" w:rsidRDefault="00B34941" w:rsidP="00B3494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p w:rsidR="00B34941" w:rsidRPr="00B34941" w:rsidRDefault="00B34941" w:rsidP="00B3494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p w:rsidR="00B34941" w:rsidRPr="00B34941" w:rsidRDefault="00B34941" w:rsidP="00B34941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p w:rsidR="00BF323D" w:rsidRDefault="00BF323D"/>
    <w:sectPr w:rsidR="00BF3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41"/>
    <w:rsid w:val="003246B6"/>
    <w:rsid w:val="005D4DDD"/>
    <w:rsid w:val="00793CA8"/>
    <w:rsid w:val="00B34941"/>
    <w:rsid w:val="00B43AFB"/>
    <w:rsid w:val="00B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C45F-EAC7-44E0-BBDC-CD53775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34941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B34941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B34941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B34941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34941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34941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B3494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B34941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B34941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4941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3494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3494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34941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34941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3494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3494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3494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B34941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B34941"/>
  </w:style>
  <w:style w:type="paragraph" w:styleId="Textocomentario">
    <w:name w:val="annotation text"/>
    <w:aliases w:val=" Car Car"/>
    <w:basedOn w:val="Normal"/>
    <w:link w:val="TextocomentarioCar"/>
    <w:unhideWhenUsed/>
    <w:rsid w:val="00B34941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34941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34941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B3494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34941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3494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B34941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3494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34941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3494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B3494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B3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B34941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B34941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3494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B34941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B34941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B34941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B3494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34941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B3494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3494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B3494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B34941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B3494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B34941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B3494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B34941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B34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B3494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34941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34941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B34941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B3494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3494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349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3494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B34941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B34941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B3494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B349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3494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B34941"/>
    <w:rPr>
      <w:vertAlign w:val="superscript"/>
    </w:rPr>
  </w:style>
  <w:style w:type="paragraph" w:customStyle="1" w:styleId="BodyText21">
    <w:name w:val="Body Text 21"/>
    <w:basedOn w:val="Normal"/>
    <w:rsid w:val="00B349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B3494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3494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34941"/>
  </w:style>
  <w:style w:type="paragraph" w:customStyle="1" w:styleId="Document1">
    <w:name w:val="Document 1"/>
    <w:rsid w:val="00B3494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B3494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3494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B349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3494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B349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3494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B34941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B34941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B349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B3494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B34941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qFormat/>
    <w:rsid w:val="00B349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B34941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B349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B3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3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494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B3494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4941"/>
    <w:rPr>
      <w:color w:val="808080"/>
    </w:rPr>
  </w:style>
  <w:style w:type="character" w:styleId="Textoennegrita">
    <w:name w:val="Strong"/>
    <w:basedOn w:val="Fuentedeprrafopredeter"/>
    <w:qFormat/>
    <w:rsid w:val="00B34941"/>
    <w:rPr>
      <w:b/>
      <w:bCs/>
    </w:rPr>
  </w:style>
  <w:style w:type="paragraph" w:customStyle="1" w:styleId="Subttulo1">
    <w:name w:val="Subtítulo1"/>
    <w:basedOn w:val="Normal"/>
    <w:next w:val="Normal"/>
    <w:qFormat/>
    <w:rsid w:val="00B34941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3494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B34941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B34941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B3494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B34941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349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349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34941"/>
  </w:style>
  <w:style w:type="table" w:customStyle="1" w:styleId="Tablaconcuadrcula3">
    <w:name w:val="Tabla con cuadrícula3"/>
    <w:basedOn w:val="Tablanormal"/>
    <w:next w:val="Tablaconcuadrcula"/>
    <w:uiPriority w:val="59"/>
    <w:rsid w:val="00B3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3494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ar"/>
    <w:qFormat/>
    <w:rsid w:val="00B3494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B3494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orrico@bcb.gob.b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cbbolivia.webex.com/bcbbolivia-sp/onstage/g.php?MTID=e748a2669fb08d67f6430043dd88cdab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el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0C39-2E3B-4776-8502-0E24EEE3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2021-04-22T18:06:00Z</dcterms:created>
  <dcterms:modified xsi:type="dcterms:W3CDTF">2021-04-22T18:18:00Z</dcterms:modified>
</cp:coreProperties>
</file>