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04A" w:rsidRDefault="00AC104A" w:rsidP="00AC104A">
      <w:pPr>
        <w:pStyle w:val="Ttulo1"/>
        <w:tabs>
          <w:tab w:val="clear" w:pos="360"/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bookmarkStart w:id="0" w:name="_Toc346873832"/>
      <w:r w:rsidRPr="00673E6A">
        <w:rPr>
          <w:rFonts w:ascii="Verdana" w:hAnsi="Verdana" w:cs="Arial"/>
          <w:sz w:val="18"/>
          <w:szCs w:val="18"/>
          <w:u w:val="none"/>
        </w:rPr>
        <w:t>CONVOCATORIA Y DATOS GENERALES DE LA CONTRATACIÓN</w:t>
      </w:r>
      <w:bookmarkEnd w:id="0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C104A" w:rsidRPr="0089442E" w:rsidTr="00284336">
        <w:trPr>
          <w:trHeight w:val="189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C104A" w:rsidRPr="0089442E" w:rsidRDefault="00AC104A" w:rsidP="00AC104A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DATOS DEL PROCESOS DE CONTRATACIÓN</w:t>
            </w:r>
          </w:p>
        </w:tc>
      </w:tr>
      <w:tr w:rsidR="00AC104A" w:rsidRPr="0089442E" w:rsidTr="00284336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AC104A" w:rsidRPr="0089442E" w:rsidTr="00284336">
        <w:trPr>
          <w:trHeight w:val="158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trHeight w:val="5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Apoyo Nacional a la Producción y Empleo </w:t>
            </w:r>
            <w:r>
              <w:rPr>
                <w:rFonts w:ascii="Arial" w:hAnsi="Arial" w:cs="Arial"/>
                <w:lang w:val="es-BO"/>
              </w:rPr>
              <w:t>–</w:t>
            </w:r>
            <w:r w:rsidRPr="00B17387">
              <w:rPr>
                <w:rFonts w:ascii="Arial" w:hAnsi="Arial" w:cs="Arial"/>
                <w:lang w:val="es-BO"/>
              </w:rPr>
              <w:t xml:space="preserve"> ANPE</w:t>
            </w:r>
            <w:r>
              <w:rPr>
                <w:rFonts w:ascii="Arial" w:hAnsi="Arial" w:cs="Arial"/>
                <w:lang w:val="es-BO"/>
              </w:rPr>
              <w:t xml:space="preserve"> Por solicitud de Cotización</w:t>
            </w:r>
          </w:p>
        </w:tc>
        <w:tc>
          <w:tcPr>
            <w:tcW w:w="2738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B17387" w:rsidRDefault="00AC104A" w:rsidP="00284336">
            <w:pPr>
              <w:jc w:val="center"/>
              <w:rPr>
                <w:rFonts w:ascii="Arial" w:hAnsi="Arial" w:cs="Arial"/>
                <w:bCs/>
                <w:lang w:val="pt-BR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 - </w:t>
            </w:r>
            <w:r>
              <w:rPr>
                <w:rFonts w:ascii="Arial" w:hAnsi="Arial" w:cs="Arial"/>
                <w:bCs/>
                <w:lang w:val="pt-BR"/>
              </w:rPr>
              <w:t>C</w:t>
            </w:r>
            <w:r w:rsidRPr="00B17387">
              <w:rPr>
                <w:rFonts w:ascii="Arial" w:hAnsi="Arial" w:cs="Arial"/>
                <w:bCs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lang w:val="pt-BR"/>
              </w:rPr>
              <w:t>026/2019-2C</w:t>
            </w:r>
          </w:p>
          <w:p w:rsidR="00AC104A" w:rsidRPr="00B17387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15"/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42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C104A" w:rsidRPr="00010926" w:rsidRDefault="00AC104A" w:rsidP="0028433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AC104A" w:rsidRPr="00B17387" w:rsidTr="00284336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AC104A" w:rsidRPr="00B17387" w:rsidRDefault="00AC104A" w:rsidP="00284336">
            <w:pPr>
              <w:jc w:val="right"/>
              <w:rPr>
                <w:rFonts w:ascii="Arial" w:hAnsi="Arial"/>
              </w:rPr>
            </w:pPr>
            <w:r w:rsidRPr="00B17387">
              <w:rPr>
                <w:rFonts w:ascii="Arial" w:hAnsi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337"/>
        <w:gridCol w:w="280"/>
        <w:gridCol w:w="281"/>
        <w:gridCol w:w="270"/>
        <w:gridCol w:w="275"/>
        <w:gridCol w:w="274"/>
        <w:gridCol w:w="323"/>
        <w:gridCol w:w="275"/>
        <w:gridCol w:w="275"/>
        <w:gridCol w:w="275"/>
        <w:gridCol w:w="272"/>
        <w:gridCol w:w="272"/>
        <w:gridCol w:w="271"/>
        <w:gridCol w:w="272"/>
        <w:gridCol w:w="272"/>
        <w:gridCol w:w="272"/>
        <w:gridCol w:w="272"/>
        <w:gridCol w:w="271"/>
        <w:gridCol w:w="272"/>
        <w:gridCol w:w="272"/>
        <w:gridCol w:w="256"/>
        <w:gridCol w:w="288"/>
        <w:gridCol w:w="271"/>
        <w:gridCol w:w="271"/>
        <w:gridCol w:w="271"/>
        <w:gridCol w:w="271"/>
        <w:gridCol w:w="271"/>
        <w:gridCol w:w="271"/>
        <w:gridCol w:w="271"/>
      </w:tblGrid>
      <w:tr w:rsidR="00AC104A" w:rsidRPr="00B17387" w:rsidTr="00284336">
        <w:trPr>
          <w:trHeight w:val="7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7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5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9E69A2" w:rsidRDefault="00AC104A" w:rsidP="0028433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lang w:val="es-BO"/>
              </w:rPr>
            </w:pPr>
            <w:r w:rsidRPr="00FA3217">
              <w:rPr>
                <w:rFonts w:ascii="Arial" w:hAnsi="Arial" w:cs="Arial"/>
                <w:b/>
                <w:bCs/>
                <w:lang w:val="es-BO"/>
              </w:rPr>
              <w:t xml:space="preserve">PROVISIÓN E INSTALACIÓN DE </w:t>
            </w:r>
            <w:r>
              <w:rPr>
                <w:rFonts w:ascii="Arial" w:hAnsi="Arial" w:cs="Arial"/>
                <w:b/>
                <w:bCs/>
                <w:lang w:val="es-BO"/>
              </w:rPr>
              <w:t>CORTINAS EN LOS PISOS 12, 19 Y 21 DEL EDIFICIO BCB (SEGUNDA CONVOCATORIA)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152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54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5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8" w:type="dxa"/>
            <w:gridSpan w:val="10"/>
            <w:tcBorders>
              <w:lef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56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C104A" w:rsidRPr="00B17387" w:rsidTr="00284336">
        <w:trPr>
          <w:trHeight w:val="11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8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C104A" w:rsidRPr="00B17387" w:rsidTr="00284336">
        <w:trPr>
          <w:trHeight w:val="48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53" w:type="dxa"/>
            <w:gridSpan w:val="8"/>
            <w:tcBorders>
              <w:left w:val="single" w:sz="4" w:space="0" w:color="auto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5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6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8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C104A" w:rsidRPr="00B17387" w:rsidTr="00284336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9E69A2" w:rsidRDefault="00AC104A" w:rsidP="00284336">
            <w:pPr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1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tcBorders>
              <w:left w:val="nil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tcBorders>
              <w:left w:val="nil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09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B33050" w:rsidRDefault="00AC104A" w:rsidP="00284336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 xml:space="preserve">Bs73.700,00 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65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6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B1FCA" w:rsidRDefault="00AC104A" w:rsidP="00284336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74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B17387" w:rsidRDefault="00AC104A" w:rsidP="00284336">
            <w:pPr>
              <w:jc w:val="center"/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10" w:type="dxa"/>
            <w:gridSpan w:val="16"/>
            <w:tcBorders>
              <w:left w:val="single" w:sz="4" w:space="0" w:color="auto"/>
            </w:tcBorders>
            <w:vAlign w:val="center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  <w:r w:rsidRPr="00B17387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B17387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AC104A" w:rsidRPr="00B17387" w:rsidTr="00284336">
        <w:trPr>
          <w:trHeight w:val="6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3" w:type="dxa"/>
            <w:gridSpan w:val="3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09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E115D6" w:rsidRDefault="00AC104A" w:rsidP="00284336">
            <w:pPr>
              <w:jc w:val="right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147EB2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147EB2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0D632D" w:rsidRDefault="00AC104A" w:rsidP="00284336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</w:rPr>
              <w:t>El proveedor deberá realizar la entrega e instalación de los bienes sujeta a verificación en un  plazo de hasta veinte (20</w:t>
            </w:r>
            <w:r w:rsidRPr="005E29D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5E29D0">
              <w:rPr>
                <w:rFonts w:ascii="Arial" w:hAnsi="Arial" w:cs="Arial"/>
              </w:rPr>
              <w:t xml:space="preserve"> días calendario </w:t>
            </w:r>
            <w:r>
              <w:rPr>
                <w:rFonts w:ascii="Arial" w:hAnsi="Arial" w:cs="Arial"/>
              </w:rPr>
              <w:t>de acuerdo al programa de ejecución establecido en la Orden de Proceder.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311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E115D6" w:rsidRDefault="00AC104A" w:rsidP="00284336">
            <w:pPr>
              <w:jc w:val="right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B17387" w:rsidTr="00284336">
        <w:trPr>
          <w:trHeight w:val="209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BB1FCA" w:rsidRDefault="00AC104A" w:rsidP="00284336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C104A" w:rsidRPr="00B17387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trHeight w:val="209"/>
          <w:jc w:val="center"/>
        </w:trPr>
        <w:tc>
          <w:tcPr>
            <w:tcW w:w="232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AC104A" w:rsidRPr="00B17387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lang w:val="es-BO"/>
              </w:rPr>
              <w:t>de Contrato</w:t>
            </w:r>
          </w:p>
          <w:p w:rsidR="00AC104A" w:rsidRPr="00B17387" w:rsidRDefault="00AC104A" w:rsidP="0028433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5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DE0CF4" w:rsidRDefault="00AC104A" w:rsidP="00284336">
            <w:pPr>
              <w:jc w:val="both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 xml:space="preserve">El proponente adjudicado deberá constituir la garantía del cumplimiento de contrato por el 7% </w:t>
            </w:r>
            <w:r w:rsidRPr="00CD3ADD">
              <w:rPr>
                <w:rFonts w:ascii="Arial" w:hAnsi="Arial" w:cs="Arial"/>
                <w:lang w:val="es-BO"/>
              </w:rPr>
              <w:t xml:space="preserve">o 3,5% </w:t>
            </w:r>
            <w:r>
              <w:rPr>
                <w:rFonts w:ascii="Arial" w:hAnsi="Arial" w:cs="Arial"/>
                <w:lang w:val="es-BO"/>
              </w:rPr>
              <w:t>(</w:t>
            </w:r>
            <w:r>
              <w:rPr>
                <w:rFonts w:ascii="Arial" w:hAnsi="Arial" w:cs="Arial"/>
              </w:rPr>
              <w:t xml:space="preserve">en caso de Micro y Pequeñas Empresas, Asociaciones de Pequeños Productores Urbanos y Rurales y Organizaciones Económicas Campesinas) </w:t>
            </w:r>
            <w:r w:rsidRPr="00DE0CF4">
              <w:rPr>
                <w:rFonts w:ascii="Arial" w:hAnsi="Arial" w:cs="Arial"/>
                <w:lang w:val="es-BO"/>
              </w:rPr>
              <w:t>del</w:t>
            </w:r>
            <w:r>
              <w:rPr>
                <w:rFonts w:ascii="Arial" w:hAnsi="Arial" w:cs="Arial"/>
                <w:lang w:val="es-BO"/>
              </w:rPr>
              <w:t xml:space="preserve"> monto total que sea contratado, según corresponda.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trHeight w:val="275"/>
          <w:jc w:val="center"/>
        </w:trPr>
        <w:tc>
          <w:tcPr>
            <w:tcW w:w="232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trHeight w:val="70"/>
          <w:jc w:val="center"/>
        </w:trPr>
        <w:tc>
          <w:tcPr>
            <w:tcW w:w="2322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010926" w:rsidRDefault="00AC104A" w:rsidP="00284336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3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F24D07" w:rsidRDefault="00AC104A" w:rsidP="00284336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8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C104A" w:rsidRPr="0089442E" w:rsidTr="00284336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Señalar para cuando es el requerimiento del bien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22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>Bienes para la gestión en curso</w:t>
            </w:r>
          </w:p>
        </w:tc>
        <w:tc>
          <w:tcPr>
            <w:tcW w:w="272" w:type="dxa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recurrentes para la próxima gestión </w:t>
            </w:r>
            <w:r w:rsidRPr="0089442E">
              <w:rPr>
                <w:rFonts w:ascii="Arial" w:hAnsi="Arial" w:cs="Arial"/>
                <w:sz w:val="14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jc w:val="both"/>
              <w:rPr>
                <w:rFonts w:ascii="Arial" w:hAnsi="Arial" w:cs="Arial"/>
              </w:rPr>
            </w:pPr>
            <w:r w:rsidRPr="0089442E">
              <w:rPr>
                <w:rFonts w:ascii="Arial" w:hAnsi="Arial" w:cs="Arial"/>
              </w:rPr>
              <w:t xml:space="preserve">Bienes para la próxima gestión </w:t>
            </w:r>
            <w:r w:rsidRPr="0089442E">
              <w:rPr>
                <w:rFonts w:ascii="Arial" w:hAnsi="Arial" w:cs="Arial"/>
                <w:sz w:val="14"/>
                <w:szCs w:val="14"/>
              </w:rPr>
              <w:t>(el proceso se  iniciara una vez promulgada la Ley del Presupuesto General del Estado la siguiente gestión)</w:t>
            </w: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56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  <w:tc>
          <w:tcPr>
            <w:tcW w:w="7394" w:type="dxa"/>
            <w:gridSpan w:val="27"/>
            <w:vMerge/>
            <w:tcBorders>
              <w:left w:val="nil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167"/>
        <w:gridCol w:w="107"/>
        <w:gridCol w:w="177"/>
        <w:gridCol w:w="97"/>
        <w:gridCol w:w="273"/>
        <w:gridCol w:w="274"/>
        <w:gridCol w:w="64"/>
        <w:gridCol w:w="210"/>
        <w:gridCol w:w="274"/>
        <w:gridCol w:w="274"/>
        <w:gridCol w:w="116"/>
        <w:gridCol w:w="157"/>
        <w:gridCol w:w="274"/>
        <w:gridCol w:w="256"/>
        <w:gridCol w:w="18"/>
        <w:gridCol w:w="256"/>
        <w:gridCol w:w="18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AC104A" w:rsidRPr="0089442E" w:rsidTr="00284336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4"/>
            <w:vMerge w:val="restart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AC104A" w:rsidRPr="0089442E" w:rsidRDefault="00AC104A" w:rsidP="0028433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4"/>
            <w:vMerge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sz w:val="12"/>
                <w:lang w:val="es-BO"/>
              </w:rPr>
            </w:pPr>
            <w:r w:rsidRPr="0089442E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C104A" w:rsidRPr="0089442E" w:rsidTr="00284336">
        <w:trPr>
          <w:trHeight w:val="175"/>
          <w:jc w:val="center"/>
        </w:trPr>
        <w:tc>
          <w:tcPr>
            <w:tcW w:w="10346" w:type="dxa"/>
            <w:gridSpan w:val="44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AC104A" w:rsidRPr="0089442E" w:rsidRDefault="00AC104A" w:rsidP="00AC104A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8"/>
                <w:lang w:val="es-BO" w:eastAsia="en-US"/>
              </w:rPr>
              <w:t>INFORMACIÓN DEL DOCUMENTO BASE DE CONTRATACIÓN (DBC</w:t>
            </w:r>
            <w:r w:rsidRPr="0089442E">
              <w:rPr>
                <w:rFonts w:ascii="Arial" w:hAnsi="Arial" w:cs="Arial"/>
                <w:b/>
                <w:color w:val="FFFFFF"/>
                <w:lang w:val="es-BO" w:eastAsia="en-US"/>
              </w:rPr>
              <w:t xml:space="preserve">) </w:t>
            </w:r>
          </w:p>
          <w:p w:rsidR="00AC104A" w:rsidRPr="0089442E" w:rsidRDefault="00AC104A" w:rsidP="00284336">
            <w:pPr>
              <w:ind w:left="303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89442E">
              <w:rPr>
                <w:rFonts w:ascii="Arial" w:hAnsi="Arial" w:cs="Arial"/>
                <w:b/>
                <w:color w:val="FFFFFF"/>
                <w:sz w:val="14"/>
                <w:lang w:val="es-BO"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C104A" w:rsidRPr="0089442E" w:rsidTr="0028433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lang w:val="es-BO"/>
              </w:rPr>
            </w:pPr>
            <w:r w:rsidRPr="002958B3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</w:rPr>
              <w:t>08:30 a 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AC104A" w:rsidRPr="0089442E" w:rsidRDefault="00AC104A" w:rsidP="002843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32" w:type="dxa"/>
            <w:gridSpan w:val="7"/>
            <w:tcBorders>
              <w:bottom w:val="single" w:sz="4" w:space="0" w:color="auto"/>
            </w:tcBorders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9442E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992" w:type="dxa"/>
            <w:gridSpan w:val="6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61" w:type="dxa"/>
            <w:gridSpan w:val="7"/>
            <w:tcBorders>
              <w:bottom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566" w:type="dxa"/>
            <w:gridSpan w:val="4"/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AC104A" w:rsidRPr="0089442E" w:rsidRDefault="00AC104A" w:rsidP="0028433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9442E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AC104A" w:rsidRPr="0089442E" w:rsidTr="00284336">
        <w:trPr>
          <w:trHeight w:val="312"/>
          <w:jc w:val="center"/>
        </w:trPr>
        <w:tc>
          <w:tcPr>
            <w:tcW w:w="34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1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Oscar Silva Velarde</w:t>
            </w:r>
          </w:p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</w:p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Pedro Condorena Ramos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  <w:r w:rsidRPr="00F37F8C">
              <w:rPr>
                <w:rFonts w:ascii="Arial" w:hAnsi="Arial" w:cs="Arial"/>
                <w:sz w:val="14"/>
                <w:lang w:val="es-BO"/>
              </w:rPr>
              <w:t xml:space="preserve">Profesional </w:t>
            </w:r>
            <w:r>
              <w:rPr>
                <w:rFonts w:ascii="Arial" w:hAnsi="Arial" w:cs="Arial"/>
                <w:sz w:val="14"/>
                <w:lang w:val="es-BO"/>
              </w:rPr>
              <w:t>e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n Compras </w:t>
            </w:r>
            <w:r>
              <w:rPr>
                <w:rFonts w:ascii="Arial" w:hAnsi="Arial" w:cs="Arial"/>
                <w:sz w:val="14"/>
                <w:lang w:val="es-BO"/>
              </w:rPr>
              <w:t>y</w:t>
            </w:r>
            <w:r w:rsidRPr="00F37F8C">
              <w:rPr>
                <w:rFonts w:ascii="Arial" w:hAnsi="Arial" w:cs="Arial"/>
                <w:sz w:val="14"/>
                <w:lang w:val="es-BO"/>
              </w:rPr>
              <w:t xml:space="preserve"> Contrataciones</w:t>
            </w:r>
          </w:p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Técnico en Infraestructura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F37F8C" w:rsidRDefault="00AC104A" w:rsidP="00284336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Subgerencia de Servicios Generales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trHeight w:val="53"/>
          <w:jc w:val="center"/>
        </w:trPr>
        <w:tc>
          <w:tcPr>
            <w:tcW w:w="2366" w:type="dxa"/>
            <w:gridSpan w:val="8"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trHeight w:val="495"/>
          <w:jc w:val="center"/>
        </w:trPr>
        <w:tc>
          <w:tcPr>
            <w:tcW w:w="1596" w:type="dxa"/>
            <w:gridSpan w:val="5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Default="00AC104A" w:rsidP="00284336">
            <w:pPr>
              <w:rPr>
                <w:rFonts w:ascii="Arial" w:hAnsi="Arial" w:cs="Arial"/>
                <w:bCs/>
                <w:color w:val="0000FF"/>
              </w:rPr>
            </w:pPr>
            <w:r w:rsidRPr="007A5200">
              <w:rPr>
                <w:rFonts w:ascii="Arial" w:hAnsi="Arial" w:cs="Arial"/>
                <w:bCs/>
                <w:color w:val="0000FF"/>
              </w:rPr>
              <w:t>2409090</w:t>
            </w:r>
            <w:r>
              <w:rPr>
                <w:rFonts w:ascii="Arial" w:hAnsi="Arial" w:cs="Arial"/>
                <w:bCs/>
                <w:color w:val="0000FF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4722</w:t>
            </w:r>
          </w:p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4747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C104A" w:rsidRPr="006A5D5B" w:rsidRDefault="00AC104A" w:rsidP="00284336">
            <w:pPr>
              <w:rPr>
                <w:rFonts w:ascii="Arial" w:hAnsi="Arial" w:cs="Arial"/>
                <w:lang w:val="es-BO"/>
              </w:rPr>
            </w:pPr>
            <w:proofErr w:type="spellStart"/>
            <w:r w:rsidRPr="006A5D5B">
              <w:rPr>
                <w:rFonts w:ascii="Arial" w:hAnsi="Arial" w:cs="Arial"/>
              </w:rPr>
              <w:t>osilva</w:t>
            </w:r>
            <w:proofErr w:type="spellEnd"/>
            <w:r>
              <w:fldChar w:fldCharType="begin"/>
            </w:r>
            <w:r>
              <w:instrText xml:space="preserve"> HYPERLINK "mailto:cchura@bcb.gob.bo" </w:instrText>
            </w:r>
            <w:r>
              <w:fldChar w:fldCharType="separate"/>
            </w:r>
            <w:r w:rsidRPr="006A5D5B">
              <w:rPr>
                <w:rStyle w:val="Hipervnculo"/>
                <w:rFonts w:ascii="Arial" w:hAnsi="Arial" w:cs="Arial"/>
                <w:lang w:val="es-BO"/>
              </w:rPr>
              <w:t>@bcb.gob.bo</w:t>
            </w:r>
            <w:r>
              <w:rPr>
                <w:rStyle w:val="Hipervnculo"/>
                <w:rFonts w:ascii="Arial" w:hAnsi="Arial" w:cs="Arial"/>
                <w:lang w:val="es-BO"/>
              </w:rPr>
              <w:fldChar w:fldCharType="end"/>
            </w:r>
            <w:r w:rsidRPr="006A5D5B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</w:rPr>
              <w:t>pcondorena</w:t>
            </w:r>
            <w:proofErr w:type="spellEnd"/>
            <w:hyperlink r:id="rId6" w:history="1">
              <w:r w:rsidRPr="006A5D5B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6A5D5B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rPr>
          <w:jc w:val="center"/>
        </w:trPr>
        <w:tc>
          <w:tcPr>
            <w:tcW w:w="71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  <w:vAlign w:val="center"/>
          </w:tcPr>
          <w:p w:rsidR="00AC104A" w:rsidRPr="0089442E" w:rsidRDefault="00AC104A" w:rsidP="0028433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AC104A" w:rsidRPr="0089442E" w:rsidRDefault="00AC104A" w:rsidP="0028433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AC104A" w:rsidRDefault="00AC104A" w:rsidP="00AC104A">
      <w:pPr>
        <w:rPr>
          <w:lang w:val="es-MX"/>
        </w:rPr>
      </w:pPr>
    </w:p>
    <w:p w:rsidR="00AC104A" w:rsidRDefault="00AC104A" w:rsidP="00AC104A">
      <w:pPr>
        <w:rPr>
          <w:lang w:val="es-MX"/>
        </w:rPr>
      </w:pPr>
    </w:p>
    <w:p w:rsidR="00AC104A" w:rsidRDefault="00AC104A" w:rsidP="00AC104A">
      <w:pPr>
        <w:rPr>
          <w:lang w:val="es-MX"/>
        </w:rPr>
      </w:pPr>
    </w:p>
    <w:tbl>
      <w:tblPr>
        <w:tblW w:w="1045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920"/>
        <w:gridCol w:w="163"/>
        <w:gridCol w:w="134"/>
        <w:gridCol w:w="134"/>
        <w:gridCol w:w="383"/>
        <w:gridCol w:w="134"/>
        <w:gridCol w:w="389"/>
        <w:gridCol w:w="134"/>
        <w:gridCol w:w="475"/>
        <w:gridCol w:w="184"/>
        <w:gridCol w:w="134"/>
        <w:gridCol w:w="475"/>
        <w:gridCol w:w="252"/>
        <w:gridCol w:w="459"/>
        <w:gridCol w:w="135"/>
        <w:gridCol w:w="141"/>
        <w:gridCol w:w="2391"/>
      </w:tblGrid>
      <w:tr w:rsidR="00AC104A" w:rsidRPr="0089442E" w:rsidTr="00284336">
        <w:trPr>
          <w:trHeight w:val="205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AC104A" w:rsidRPr="0089442E" w:rsidRDefault="00AC104A" w:rsidP="0028433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lang w:val="es-BO"/>
              </w:rPr>
              <w:br w:type="page"/>
            </w: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89442E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89442E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AC104A" w:rsidRPr="0089442E" w:rsidTr="00284336">
        <w:trPr>
          <w:trHeight w:val="1826"/>
        </w:trPr>
        <w:tc>
          <w:tcPr>
            <w:tcW w:w="1045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C104A" w:rsidRPr="005E32CC" w:rsidRDefault="00AC104A" w:rsidP="00284336">
            <w:pPr>
              <w:spacing w:line="360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AC104A" w:rsidRPr="005E32CC" w:rsidRDefault="00AC104A" w:rsidP="00AC104A">
            <w:pPr>
              <w:pStyle w:val="Prrafodelista"/>
              <w:numPr>
                <w:ilvl w:val="2"/>
                <w:numId w:val="2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8"/>
                <w:lang w:val="es-BO"/>
              </w:rPr>
            </w:pPr>
            <w:r w:rsidRPr="005E32CC">
              <w:rPr>
                <w:rFonts w:ascii="Arial" w:hAnsi="Arial" w:cs="Arial"/>
                <w:sz w:val="18"/>
                <w:lang w:val="es-BO"/>
              </w:rPr>
              <w:t xml:space="preserve">Presentación de </w:t>
            </w:r>
            <w:r>
              <w:rPr>
                <w:rFonts w:ascii="Arial" w:hAnsi="Arial" w:cs="Arial"/>
                <w:sz w:val="18"/>
                <w:lang w:val="es-BO"/>
              </w:rPr>
              <w:t>cotizacione</w:t>
            </w:r>
            <w:r w:rsidRPr="005E32CC">
              <w:rPr>
                <w:rFonts w:ascii="Arial" w:hAnsi="Arial" w:cs="Arial"/>
                <w:sz w:val="18"/>
                <w:lang w:val="es-BO"/>
              </w:rPr>
              <w:t>s:</w:t>
            </w:r>
          </w:p>
          <w:p w:rsidR="00AC104A" w:rsidRPr="005E32CC" w:rsidRDefault="00AC104A" w:rsidP="00AC104A">
            <w:pPr>
              <w:numPr>
                <w:ilvl w:val="0"/>
                <w:numId w:val="5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AC104A" w:rsidRPr="005E32CC" w:rsidRDefault="00AC104A" w:rsidP="00AC104A">
            <w:pPr>
              <w:numPr>
                <w:ilvl w:val="0"/>
                <w:numId w:val="5"/>
              </w:numPr>
              <w:spacing w:line="360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C104A" w:rsidRPr="005E32CC" w:rsidRDefault="00AC104A" w:rsidP="00284336">
            <w:pPr>
              <w:spacing w:line="360" w:lineRule="auto"/>
              <w:ind w:left="56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AC104A" w:rsidRPr="005E32CC" w:rsidRDefault="00AC104A" w:rsidP="00AC104A">
            <w:pPr>
              <w:numPr>
                <w:ilvl w:val="2"/>
                <w:numId w:val="2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AC104A" w:rsidRPr="005E32CC" w:rsidRDefault="00AC104A" w:rsidP="00AC104A">
            <w:pPr>
              <w:numPr>
                <w:ilvl w:val="2"/>
                <w:numId w:val="2"/>
              </w:numPr>
              <w:tabs>
                <w:tab w:val="clear" w:pos="2160"/>
              </w:tabs>
              <w:spacing w:line="360" w:lineRule="auto"/>
              <w:ind w:left="356" w:right="113" w:hanging="284"/>
              <w:jc w:val="both"/>
              <w:rPr>
                <w:sz w:val="14"/>
                <w:lang w:val="es-BO"/>
              </w:rPr>
            </w:pPr>
            <w:r w:rsidRPr="005E32CC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C104A" w:rsidRPr="0089442E" w:rsidRDefault="00AC104A" w:rsidP="00284336">
            <w:pPr>
              <w:spacing w:line="360" w:lineRule="auto"/>
              <w:ind w:left="356" w:right="113"/>
              <w:jc w:val="both"/>
              <w:rPr>
                <w:lang w:val="es-BO"/>
              </w:rPr>
            </w:pPr>
            <w:r w:rsidRPr="005E32CC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tr w:rsidR="00AC104A" w:rsidRPr="0089442E" w:rsidTr="00284336">
        <w:trPr>
          <w:trHeight w:val="140"/>
        </w:trPr>
        <w:tc>
          <w:tcPr>
            <w:tcW w:w="104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AC104A" w:rsidRPr="0089442E" w:rsidRDefault="00AC104A" w:rsidP="00284336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9442E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434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213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9442E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Publicación del DBC en el SICOES</w:t>
            </w:r>
            <w:r w:rsidRPr="0089442E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431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</w:rPr>
              <w:t>Edif. Principal del BCB</w:t>
            </w: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015E67" w:rsidRDefault="00AC104A" w:rsidP="00284336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 xml:space="preserve">Piso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7 del BCB. Coordinar con Pedro Condorena Ramos</w:t>
            </w: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>. (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Técnico en Infraestructura</w:t>
            </w: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 xml:space="preserve">) – Tel. 2409090, Interno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4747</w:t>
            </w:r>
            <w:r w:rsidRPr="000D3F01">
              <w:rPr>
                <w:rFonts w:ascii="Arial" w:hAnsi="Arial" w:cs="Arial"/>
                <w:sz w:val="14"/>
                <w:szCs w:val="14"/>
                <w:lang w:val="es-BO"/>
              </w:rPr>
              <w:t>.</w:t>
            </w: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NO CORRESPONDE</w:t>
            </w: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015E67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015E67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Presentación de Cotizaciones:</w:t>
            </w:r>
          </w:p>
          <w:p w:rsidR="00AC104A" w:rsidRPr="00015E67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Ventanilla Única de Correspondencia – PB del Edificio del BCB, ubicado en el Calle Ayacucho esq. Mercado, La Paz- Bolivia.</w:t>
            </w:r>
          </w:p>
          <w:p w:rsidR="00AC104A" w:rsidRPr="00015E67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5E67">
              <w:rPr>
                <w:rFonts w:ascii="Arial" w:hAnsi="Arial" w:cs="Arial"/>
                <w:b/>
                <w:bCs/>
                <w:sz w:val="14"/>
                <w:szCs w:val="14"/>
              </w:rPr>
              <w:t>Apertura de Cotizaciones:</w:t>
            </w:r>
          </w:p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15E67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</w:t>
            </w:r>
            <w:r w:rsidRPr="00015E67">
              <w:rPr>
                <w:rFonts w:ascii="Arial" w:hAnsi="Arial" w:cs="Arial"/>
              </w:rPr>
              <w:t>.</w:t>
            </w: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9442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8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AC104A">
            <w:pPr>
              <w:numPr>
                <w:ilvl w:val="0"/>
                <w:numId w:val="4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2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9442E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C104A" w:rsidRPr="0089442E" w:rsidTr="002843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92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104A" w:rsidRPr="0089442E" w:rsidRDefault="00AC104A" w:rsidP="0028433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8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04A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04A" w:rsidRPr="0089442E" w:rsidRDefault="00AC104A" w:rsidP="002843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AC104A" w:rsidRPr="000E7E61" w:rsidRDefault="00AC104A" w:rsidP="00AC104A">
      <w:pPr>
        <w:jc w:val="center"/>
        <w:rPr>
          <w:sz w:val="4"/>
        </w:rPr>
      </w:pPr>
      <w:bookmarkStart w:id="1" w:name="OLE_LINK3"/>
      <w:bookmarkStart w:id="2" w:name="OLE_LINK4"/>
    </w:p>
    <w:p w:rsidR="006B2174" w:rsidRDefault="00AC104A">
      <w:bookmarkStart w:id="3" w:name="_GoBack"/>
      <w:bookmarkEnd w:id="1"/>
      <w:bookmarkEnd w:id="2"/>
      <w:bookmarkEnd w:id="3"/>
    </w:p>
    <w:sectPr w:rsidR="006B2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56408"/>
    <w:multiLevelType w:val="multilevel"/>
    <w:tmpl w:val="51267CD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4A"/>
    <w:rsid w:val="001C0472"/>
    <w:rsid w:val="005B17CD"/>
    <w:rsid w:val="00A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4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C104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C104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C104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C104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C104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C104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AC104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C104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C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C10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C10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C104A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04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AC104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C104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C104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AC104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AC104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AC104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uiPriority w:val="99"/>
    <w:rsid w:val="00AC104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AC104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AC1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C10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AC10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AC104A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varez@bc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Velarde Oscar</dc:creator>
  <cp:lastModifiedBy>Silva Velarde Oscar</cp:lastModifiedBy>
  <cp:revision>1</cp:revision>
  <dcterms:created xsi:type="dcterms:W3CDTF">2019-09-19T20:53:00Z</dcterms:created>
  <dcterms:modified xsi:type="dcterms:W3CDTF">2019-09-19T20:53:00Z</dcterms:modified>
</cp:coreProperties>
</file>