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E9" w:rsidRPr="009956C4" w:rsidRDefault="00031BE9" w:rsidP="00031BE9">
      <w:pPr>
        <w:jc w:val="center"/>
        <w:rPr>
          <w:rFonts w:cs="Arial"/>
          <w:b/>
          <w:sz w:val="4"/>
          <w:szCs w:val="18"/>
          <w:lang w:val="es-BO"/>
        </w:rPr>
      </w:pPr>
    </w:p>
    <w:p w:rsidR="00031BE9" w:rsidRPr="009956C4" w:rsidRDefault="00031BE9" w:rsidP="00031BE9">
      <w:pPr>
        <w:jc w:val="both"/>
        <w:rPr>
          <w:rFonts w:cs="Arial"/>
          <w:sz w:val="2"/>
          <w:szCs w:val="18"/>
          <w:lang w:val="es-BO"/>
        </w:rPr>
      </w:pPr>
    </w:p>
    <w:p w:rsidR="00031BE9" w:rsidRPr="009956C4" w:rsidRDefault="00031BE9" w:rsidP="00031BE9">
      <w:pPr>
        <w:jc w:val="both"/>
        <w:rPr>
          <w:rFonts w:cs="Arial"/>
          <w:sz w:val="2"/>
          <w:szCs w:val="18"/>
          <w:lang w:val="es-BO"/>
        </w:rPr>
      </w:pPr>
    </w:p>
    <w:p w:rsidR="00031BE9" w:rsidRDefault="00031BE9" w:rsidP="00031BE9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031BE9" w:rsidRPr="005B660C" w:rsidRDefault="00031BE9" w:rsidP="00031BE9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031BE9" w:rsidRPr="009956C4" w:rsidTr="00573952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31BE9" w:rsidRPr="009956C4" w:rsidRDefault="00031BE9" w:rsidP="00031BE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31BE9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31BE9" w:rsidRPr="0060074B" w:rsidTr="00573952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60074B" w:rsidRDefault="00031BE9" w:rsidP="0057395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31BE9" w:rsidRPr="009956C4" w:rsidTr="00573952">
        <w:trPr>
          <w:trHeight w:val="227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146F5" w:rsidRDefault="00031BE9" w:rsidP="00573952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31BE9" w:rsidRPr="009956C4" w:rsidTr="00573952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8146F5" w:rsidRDefault="00031BE9" w:rsidP="0057395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31BE9" w:rsidRPr="009956C4" w:rsidTr="00573952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100</w:t>
            </w:r>
            <w:r w:rsidRPr="00843D2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843D25">
              <w:rPr>
                <w:rFonts w:ascii="Arial" w:hAnsi="Arial" w:cs="Arial"/>
                <w:lang w:val="es-BO"/>
              </w:rPr>
              <w:t>-1</w:t>
            </w:r>
            <w:r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31BE9" w:rsidRPr="009956C4" w:rsidTr="00573952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31BE9" w:rsidRPr="009956C4" w:rsidTr="00573952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031BE9" w:rsidRPr="00843D25" w:rsidTr="00573952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843D25" w:rsidRDefault="00031BE9" w:rsidP="0057395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31BE9" w:rsidRPr="00843D25" w:rsidTr="00573952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BE9" w:rsidRPr="00843D25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E9" w:rsidRPr="00843D25" w:rsidRDefault="00031BE9" w:rsidP="0057395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E9" w:rsidRPr="00843D25" w:rsidRDefault="00031BE9" w:rsidP="0057395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31BE9" w:rsidRPr="00843D25" w:rsidRDefault="00031BE9" w:rsidP="005739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E9" w:rsidRPr="00843D25" w:rsidRDefault="00031BE9" w:rsidP="0057395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31BE9" w:rsidRPr="00843D25" w:rsidRDefault="00031BE9" w:rsidP="0057395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031BE9" w:rsidRPr="009956C4" w:rsidTr="0057395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60074B" w:rsidRDefault="00031BE9" w:rsidP="0057395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31BE9" w:rsidRPr="009956C4" w:rsidTr="00573952">
        <w:trPr>
          <w:trHeight w:val="419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A33D4D">
              <w:rPr>
                <w:rFonts w:ascii="Arial" w:hAnsi="Arial" w:cs="Arial"/>
                <w:b/>
                <w:lang w:val="es-BO"/>
              </w:rPr>
              <w:t>ADQUISICIÓN DE UPS</w:t>
            </w:r>
            <w:r>
              <w:rPr>
                <w:rFonts w:ascii="Arial" w:hAnsi="Arial" w:cs="Arial"/>
                <w:b/>
                <w:lang w:val="es-BO"/>
              </w:rPr>
              <w:t xml:space="preserve"> DE ALTA POTENCIA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60074B" w:rsidRDefault="00031BE9" w:rsidP="0057395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31BE9" w:rsidRPr="009956C4" w:rsidTr="00573952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DB38B8" w:rsidRDefault="00031BE9" w:rsidP="0057395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31BE9" w:rsidRPr="009956C4" w:rsidTr="00573952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31BE9" w:rsidRPr="009956C4" w:rsidTr="00573952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31BE9" w:rsidRPr="009956C4" w:rsidTr="00573952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DB38B8" w:rsidRDefault="00031BE9" w:rsidP="0057395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Bs957.481,00 (Novecientos Cincuenta y Siete Mil Cuatrocientos Ochenta y Uno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111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DB38B8" w:rsidRDefault="00031BE9" w:rsidP="00573952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644344" w:rsidRDefault="00031BE9" w:rsidP="00573952">
            <w:pPr>
              <w:jc w:val="both"/>
              <w:rPr>
                <w:rFonts w:ascii="Arial" w:hAnsi="Arial" w:cs="Arial"/>
                <w:lang w:val="es-BO"/>
              </w:rPr>
            </w:pPr>
            <w:r w:rsidRPr="00644344">
              <w:rPr>
                <w:rFonts w:ascii="Arial" w:hAnsi="Arial" w:cs="Arial"/>
                <w:lang w:val="es-BO"/>
              </w:rPr>
              <w:t>El proveedor deberá realizar la entrega de los bienes sujeta a verificación en un plazo de hasta treinta días (30) días calendario a partir del siguiente día calendario de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27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31BE9" w:rsidRPr="0060074B" w:rsidRDefault="00031BE9" w:rsidP="0057395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60074B" w:rsidRDefault="00031BE9" w:rsidP="0057395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31BE9" w:rsidRPr="009956C4" w:rsidTr="00573952"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644344" w:rsidRDefault="00031BE9" w:rsidP="005739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44344">
              <w:rPr>
                <w:rFonts w:ascii="Arial" w:hAnsi="Arial" w:cs="Arial"/>
                <w:sz w:val="14"/>
                <w:szCs w:val="14"/>
                <w:lang w:val="es-BO"/>
              </w:rPr>
              <w:t>Garantía de Cumplimiento de Contrato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 w:rsidRPr="00644344">
              <w:rPr>
                <w:rFonts w:ascii="Arial" w:eastAsia="Arial" w:hAnsi="Arial" w:cs="Arial"/>
                <w:color w:val="000000"/>
                <w:lang w:eastAsia="es-BO"/>
              </w:rPr>
              <w:t>El proponente deberá constituir la Garantía de Cumplimiento de Contrato, de acuerdo al artículo 20 del D.S. N° 181 y normativa vigente, pudiendo elegir entre: Boleta de Garantía, Garantía a Primer Requerimiento o Póliza de Seguro de Caución a Primer Requerimiento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1807" w:type="dxa"/>
            <w:shd w:val="clear" w:color="auto" w:fill="auto"/>
            <w:vAlign w:val="center"/>
          </w:tcPr>
          <w:p w:rsidR="00031BE9" w:rsidRPr="00644344" w:rsidRDefault="00031BE9" w:rsidP="005739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47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6211F2" w:rsidTr="00573952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644344" w:rsidRDefault="00031BE9" w:rsidP="005739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8225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6211F2" w:rsidRDefault="00031BE9" w:rsidP="00573952">
            <w:pPr>
              <w:jc w:val="both"/>
              <w:rPr>
                <w:rFonts w:ascii="Arial" w:eastAsia="Arial" w:hAnsi="Arial" w:cs="Arial"/>
                <w:color w:val="000000"/>
                <w:lang w:eastAsia="es-BO"/>
              </w:rPr>
            </w:pPr>
            <w:r w:rsidRPr="006211F2">
              <w:rPr>
                <w:rFonts w:ascii="Arial" w:eastAsia="Arial" w:hAnsi="Arial" w:cs="Arial"/>
                <w:color w:val="000000"/>
                <w:lang w:eastAsia="es-BO"/>
              </w:rPr>
              <w:t>Por un periodo de al menos un (1) año y 30 días a partir de la fecha de emisión del Acta de Recepción; el proveedor adjudicado constituirá una garantía del 1.5% del monto del Contrato o podrá solicitar la retención en el pago del monto correspondiente, el proveedor deberá entregar esta garantía para la emisión del Acta de Recepción.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6211F2" w:rsidRDefault="00031BE9" w:rsidP="00573952">
            <w:pPr>
              <w:rPr>
                <w:rFonts w:ascii="Arial" w:eastAsia="Arial" w:hAnsi="Arial" w:cs="Arial"/>
                <w:color w:val="000000"/>
                <w:lang w:eastAsia="es-BO"/>
              </w:rPr>
            </w:pPr>
          </w:p>
        </w:tc>
        <w:bookmarkStart w:id="1" w:name="_GoBack"/>
        <w:bookmarkEnd w:id="1"/>
      </w:tr>
      <w:tr w:rsidR="00031BE9" w:rsidRPr="009956C4" w:rsidTr="00573952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644344" w:rsidRDefault="00031BE9" w:rsidP="005739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60074B" w:rsidRDefault="00031BE9" w:rsidP="0057395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031BE9" w:rsidRPr="009956C4" w:rsidTr="00573952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DB38B8" w:rsidRDefault="00031BE9" w:rsidP="0057395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031BE9" w:rsidRPr="00156685" w:rsidRDefault="00031BE9" w:rsidP="0057395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31BE9" w:rsidRPr="009956C4" w:rsidTr="00573952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142"/>
        <w:gridCol w:w="283"/>
        <w:gridCol w:w="142"/>
        <w:gridCol w:w="850"/>
        <w:gridCol w:w="142"/>
        <w:gridCol w:w="709"/>
        <w:gridCol w:w="283"/>
        <w:gridCol w:w="104"/>
        <w:gridCol w:w="236"/>
        <w:gridCol w:w="369"/>
        <w:gridCol w:w="1033"/>
        <w:gridCol w:w="28"/>
        <w:gridCol w:w="280"/>
      </w:tblGrid>
      <w:tr w:rsidR="00031BE9" w:rsidRPr="009956C4" w:rsidTr="00573952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31BE9" w:rsidRPr="009956C4" w:rsidRDefault="00031BE9" w:rsidP="0057395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33D4D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A33D4D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33D4D" w:rsidRDefault="00031BE9" w:rsidP="0057395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31BE9" w:rsidRPr="009956C4" w:rsidTr="00573952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31BE9" w:rsidRPr="009956C4" w:rsidRDefault="00031BE9" w:rsidP="00031BE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31BE9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031BE9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031BE9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31BE9" w:rsidRPr="009956C4" w:rsidTr="0057395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1BE9" w:rsidRPr="009956C4" w:rsidTr="00573952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A33D4D" w:rsidRDefault="00031BE9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BE9" w:rsidRPr="00A33D4D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A33D4D" w:rsidRDefault="00031BE9" w:rsidP="00573952">
            <w:pPr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08:00</w:t>
            </w:r>
            <w:r w:rsidRPr="00A33D4D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1BE9" w:rsidRPr="009956C4" w:rsidTr="00573952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031BE9" w:rsidRPr="009956C4" w:rsidRDefault="00031BE9" w:rsidP="005739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031BE9" w:rsidRPr="009956C4" w:rsidRDefault="00031BE9" w:rsidP="005739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31BE9" w:rsidRPr="009956C4" w:rsidTr="00573952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031BE9" w:rsidRPr="009956C4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Liliam Cortez Linares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Técnico Administrativo en</w:t>
            </w: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 Compras y Contrataciones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031BE9" w:rsidRPr="009956C4" w:rsidTr="00573952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Roger Samuel Callisaya Mendoza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Ingeniero de M</w:t>
            </w:r>
            <w:r w:rsidRPr="003D5081">
              <w:rPr>
                <w:rFonts w:ascii="Arial" w:hAnsi="Arial" w:cs="Arial"/>
                <w:sz w:val="15"/>
                <w:szCs w:val="13"/>
                <w:lang w:val="es-BO" w:eastAsia="es-BO"/>
              </w:rPr>
              <w:t>antenimiento de equipos electrónicos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479E1" w:rsidRDefault="00031BE9" w:rsidP="0057395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Gerencia de 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Sistemas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031BE9" w:rsidRPr="009956C4" w:rsidTr="00573952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FC2F68" w:rsidRDefault="00031BE9" w:rsidP="0057395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031BE9" w:rsidRPr="0006032F" w:rsidRDefault="00031BE9" w:rsidP="0057395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4709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  <w:r w:rsidRPr="00A479E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07</w:t>
            </w:r>
            <w:r w:rsidRPr="00A479E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A479E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E9" w:rsidRPr="009956C4" w:rsidRDefault="00031BE9" w:rsidP="0057395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1BE9" w:rsidRPr="009A789F" w:rsidRDefault="00031BE9" w:rsidP="0057395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793BA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lcortez@bcb.gob.bo</w:t>
              </w:r>
            </w:hyperlink>
          </w:p>
          <w:p w:rsidR="00031BE9" w:rsidRPr="009A789F" w:rsidRDefault="00031BE9" w:rsidP="0057395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A78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031BE9" w:rsidRPr="0006032F" w:rsidRDefault="00031BE9" w:rsidP="00573952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rmcallisaya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1BE9" w:rsidRPr="009956C4" w:rsidRDefault="00031BE9" w:rsidP="00573952">
            <w:pPr>
              <w:rPr>
                <w:rFonts w:ascii="Arial" w:hAnsi="Arial" w:cs="Arial"/>
                <w:lang w:val="es-BO"/>
              </w:rPr>
            </w:pPr>
          </w:p>
        </w:tc>
      </w:tr>
      <w:tr w:rsidR="00031BE9" w:rsidRPr="009956C4" w:rsidTr="0057395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1BE9" w:rsidRPr="009956C4" w:rsidTr="0057395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402294" w:rsidRDefault="00031BE9" w:rsidP="0057395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6211F2" w:rsidRDefault="00031BE9" w:rsidP="00573952">
            <w:pPr>
              <w:rPr>
                <w:rFonts w:ascii="Arial" w:hAnsi="Arial" w:cs="Arial"/>
                <w:sz w:val="14"/>
                <w:szCs w:val="14"/>
              </w:rPr>
            </w:pPr>
            <w:r w:rsidRPr="006211F2">
              <w:rPr>
                <w:rFonts w:ascii="Arial" w:hAnsi="Arial" w:cs="Arial"/>
                <w:sz w:val="14"/>
                <w:szCs w:val="14"/>
              </w:rPr>
              <w:t>Número de Cuenta: 10000041173216</w:t>
            </w:r>
          </w:p>
          <w:p w:rsidR="00031BE9" w:rsidRPr="006211F2" w:rsidRDefault="00031BE9" w:rsidP="00573952">
            <w:pPr>
              <w:rPr>
                <w:rFonts w:ascii="Arial" w:hAnsi="Arial" w:cs="Arial"/>
                <w:sz w:val="14"/>
                <w:szCs w:val="14"/>
              </w:rPr>
            </w:pPr>
            <w:r w:rsidRPr="006211F2">
              <w:rPr>
                <w:rFonts w:ascii="Arial" w:hAnsi="Arial" w:cs="Arial"/>
                <w:sz w:val="14"/>
                <w:szCs w:val="14"/>
              </w:rPr>
              <w:t>Banco: Banco Unión S.A.</w:t>
            </w:r>
          </w:p>
          <w:p w:rsidR="00031BE9" w:rsidRPr="006211F2" w:rsidRDefault="00031BE9" w:rsidP="00573952">
            <w:pPr>
              <w:rPr>
                <w:rFonts w:ascii="Arial" w:hAnsi="Arial" w:cs="Arial"/>
                <w:sz w:val="14"/>
                <w:szCs w:val="14"/>
              </w:rPr>
            </w:pPr>
            <w:r w:rsidRPr="006211F2">
              <w:rPr>
                <w:rFonts w:ascii="Arial" w:hAnsi="Arial" w:cs="Arial"/>
                <w:sz w:val="14"/>
                <w:szCs w:val="14"/>
              </w:rPr>
              <w:t>Titular: Tesoro General de la Nación</w:t>
            </w:r>
          </w:p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6211F2">
              <w:rPr>
                <w:rFonts w:ascii="Arial" w:hAnsi="Arial" w:cs="Arial"/>
                <w:sz w:val="14"/>
                <w:szCs w:val="14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s-BO"/>
              </w:rPr>
              <w:t>B</w:t>
            </w:r>
            <w:r w:rsidRPr="006211F2">
              <w:rPr>
                <w:rFonts w:ascii="Arial" w:hAnsi="Arial" w:cs="Arial"/>
                <w:sz w:val="14"/>
                <w:szCs w:val="14"/>
                <w:lang w:val="es-BO"/>
              </w:rPr>
              <w:t>olivianos</w:t>
            </w:r>
            <w:proofErr w:type="gramEnd"/>
            <w:r>
              <w:rPr>
                <w:rFonts w:ascii="Arial" w:hAnsi="Arial" w:cs="Arial"/>
                <w:lang w:val="es-BO"/>
              </w:rPr>
              <w:t>. (</w:t>
            </w:r>
            <w:r w:rsidRPr="00FC1118">
              <w:rPr>
                <w:rFonts w:ascii="Arial" w:hAnsi="Arial" w:cs="Arial"/>
                <w:b/>
                <w:i/>
                <w:lang w:val="es-BO"/>
              </w:rPr>
              <w:t>NO CORRESPONDE)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1BE9" w:rsidRPr="009956C4" w:rsidTr="00573952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1BE9" w:rsidRPr="009956C4" w:rsidRDefault="00031BE9" w:rsidP="0057395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31BE9" w:rsidRPr="00944754" w:rsidRDefault="00031BE9" w:rsidP="00031BE9">
      <w:pPr>
        <w:rPr>
          <w:sz w:val="8"/>
          <w:szCs w:val="8"/>
          <w:lang w:val="es-BO"/>
        </w:rPr>
      </w:pPr>
    </w:p>
    <w:p w:rsidR="00031BE9" w:rsidRPr="009956C4" w:rsidRDefault="00031BE9" w:rsidP="00031BE9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031BE9" w:rsidRPr="00865FD3" w:rsidRDefault="00031BE9" w:rsidP="00031BE9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031BE9" w:rsidRPr="009956C4" w:rsidTr="00573952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BE9" w:rsidRPr="004417D2" w:rsidRDefault="00031BE9" w:rsidP="00573952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4417D2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031BE9" w:rsidRPr="004417D2" w:rsidRDefault="00031BE9" w:rsidP="00031BE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31BE9" w:rsidRPr="004417D2" w:rsidRDefault="00031BE9" w:rsidP="00031BE9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031BE9" w:rsidRPr="004417D2" w:rsidRDefault="00031BE9" w:rsidP="00031BE9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31BE9" w:rsidRPr="004417D2" w:rsidRDefault="00031BE9" w:rsidP="0057395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31BE9" w:rsidRPr="004417D2" w:rsidRDefault="00031BE9" w:rsidP="00031BE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31BE9" w:rsidRPr="004417D2" w:rsidRDefault="00031BE9" w:rsidP="00031BE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31BE9" w:rsidRPr="0060074B" w:rsidRDefault="00031BE9" w:rsidP="00573952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031BE9" w:rsidRPr="009956C4" w:rsidRDefault="00031BE9" w:rsidP="00031BE9">
      <w:pPr>
        <w:jc w:val="right"/>
        <w:rPr>
          <w:rFonts w:ascii="Arial" w:hAnsi="Arial" w:cs="Arial"/>
          <w:lang w:val="es-BO"/>
        </w:rPr>
      </w:pPr>
    </w:p>
    <w:p w:rsidR="00031BE9" w:rsidRPr="009956C4" w:rsidRDefault="00031BE9" w:rsidP="00031BE9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31BE9" w:rsidRPr="004417D2" w:rsidRDefault="00031BE9" w:rsidP="00031BE9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34"/>
        <w:gridCol w:w="2973"/>
        <w:gridCol w:w="198"/>
      </w:tblGrid>
      <w:tr w:rsidR="00031BE9" w:rsidRPr="009956C4" w:rsidTr="00573952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31BE9" w:rsidRPr="009956C4" w:rsidTr="00573952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82774E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82774E" w:rsidTr="00573952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82774E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Piso 11 Edificio Principal del Banco Central de Bolivia, calle Ayacucho esquina Mercado La Paz Bolivia en coordinación con el Departamento de Soporte Técnico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82774E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82774E" w:rsidTr="00573952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82774E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82774E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82774E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82774E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47199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984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471994" w:rsidRDefault="00031BE9" w:rsidP="0057395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031BE9" w:rsidRPr="00471994" w:rsidRDefault="00031BE9" w:rsidP="00031BE9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031BE9" w:rsidRPr="00471994" w:rsidRDefault="00031BE9" w:rsidP="0057395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031BE9" w:rsidRDefault="00031BE9" w:rsidP="0057395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31BE9" w:rsidRPr="00865FD3" w:rsidRDefault="00031BE9" w:rsidP="00573952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47199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1BE9" w:rsidRPr="009956C4" w:rsidTr="00573952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865FD3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1BE9" w:rsidRPr="009956C4" w:rsidTr="00573952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13B0F" w:rsidRDefault="00031BE9" w:rsidP="005739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13B0F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13B0F" w:rsidRDefault="00031BE9" w:rsidP="005739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13B0F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13B0F" w:rsidRDefault="00031BE9" w:rsidP="005739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Default="00031BE9" w:rsidP="00573952">
            <w:pPr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través de </w:t>
            </w:r>
            <w:r w:rsidRPr="00754FAF">
              <w:rPr>
                <w:rFonts w:ascii="Arial" w:hAnsi="Arial" w:cs="Arial"/>
                <w:b/>
                <w:sz w:val="12"/>
                <w:szCs w:val="12"/>
              </w:rPr>
              <w:t>zoom</w:t>
            </w:r>
            <w:r w:rsidRPr="00471994">
              <w:rPr>
                <w:rFonts w:ascii="Arial" w:hAnsi="Arial" w:cs="Arial"/>
                <w:sz w:val="12"/>
                <w:szCs w:val="12"/>
              </w:rPr>
              <w:t>:</w:t>
            </w:r>
            <w:r>
              <w:t xml:space="preserve"> </w:t>
            </w:r>
            <w:hyperlink r:id="rId7" w:history="1">
              <w:r w:rsidRPr="00931D61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https://bcb-gob-bo.zoom.us/j/82000253809?pwd=0v5NBOaaSYCiQMgRktsB0tcDvfeD1c.1</w:t>
              </w:r>
            </w:hyperlink>
          </w:p>
          <w:p w:rsidR="00031BE9" w:rsidRPr="007B53BD" w:rsidRDefault="00031BE9" w:rsidP="00573952">
            <w:pPr>
              <w:rPr>
                <w:rStyle w:val="Hipervnculo"/>
              </w:rPr>
            </w:pPr>
            <w:r w:rsidRPr="006209E7">
              <w:rPr>
                <w:rStyle w:val="Hipervnculo"/>
                <w:sz w:val="12"/>
                <w:szCs w:val="12"/>
              </w:rPr>
              <w:t>ID de reunión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B53BD">
              <w:rPr>
                <w:rStyle w:val="Hipervnculo"/>
                <w:rFonts w:ascii="Arial" w:hAnsi="Arial" w:cs="Arial"/>
                <w:sz w:val="12"/>
                <w:szCs w:val="12"/>
              </w:rPr>
              <w:t>820 0025 3809</w:t>
            </w:r>
          </w:p>
          <w:p w:rsidR="00031BE9" w:rsidRPr="009956C4" w:rsidRDefault="00031BE9" w:rsidP="0057395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B53BD">
              <w:rPr>
                <w:rStyle w:val="Hipervnculo"/>
                <w:sz w:val="12"/>
                <w:szCs w:val="12"/>
              </w:rPr>
              <w:t>Código de Acceso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:</w:t>
            </w:r>
            <w:r>
              <w:rPr>
                <w:rStyle w:val="Ttulo1Car"/>
              </w:rPr>
              <w:t xml:space="preserve"> </w:t>
            </w:r>
            <w:r w:rsidRPr="007B53BD">
              <w:rPr>
                <w:rStyle w:val="Hipervnculo"/>
                <w:rFonts w:ascii="Arial" w:hAnsi="Arial" w:cs="Arial"/>
                <w:sz w:val="12"/>
                <w:szCs w:val="12"/>
              </w:rPr>
              <w:t>541667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1BE9" w:rsidRPr="009956C4" w:rsidTr="00573952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65FD3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65FD3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65FD3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65FD3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865FD3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9956C4" w:rsidTr="0057395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9956C4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9956C4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A244D6" w:rsidTr="0057395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31BE9" w:rsidRPr="00A244D6" w:rsidTr="0057395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1BE9" w:rsidRPr="00A244D6" w:rsidRDefault="00031BE9" w:rsidP="0057395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1BE9" w:rsidRPr="00A244D6" w:rsidRDefault="00031BE9" w:rsidP="005739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A244D6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31BE9" w:rsidRPr="00AB2AC8" w:rsidTr="00573952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1BE9" w:rsidRPr="00AB2AC8" w:rsidRDefault="00031BE9" w:rsidP="0057395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1BE9" w:rsidRPr="00AB2AC8" w:rsidRDefault="00031BE9" w:rsidP="005739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E9" w:rsidRPr="00AB2AC8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E9" w:rsidRPr="00AB2AC8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AB2AC8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1BE9" w:rsidRPr="00AB2AC8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31BE9" w:rsidRPr="00AB2AC8" w:rsidRDefault="00031BE9" w:rsidP="005739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31BE9" w:rsidRPr="00944754" w:rsidRDefault="00031BE9" w:rsidP="00031BE9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031BE9" w:rsidRDefault="00031BE9" w:rsidP="00031BE9">
      <w:pPr>
        <w:rPr>
          <w:rFonts w:cs="Arial"/>
          <w:i/>
          <w:sz w:val="14"/>
          <w:szCs w:val="18"/>
          <w:lang w:val="es-BO"/>
        </w:rPr>
      </w:pPr>
      <w:r>
        <w:rPr>
          <w:rFonts w:cs="Arial"/>
          <w:i/>
          <w:sz w:val="14"/>
          <w:szCs w:val="18"/>
          <w:lang w:val="es-BO"/>
        </w:rPr>
        <w:br w:type="page"/>
      </w:r>
    </w:p>
    <w:p w:rsidR="000F02DF" w:rsidRDefault="000F02DF"/>
    <w:sectPr w:rsidR="000F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E9"/>
    <w:rsid w:val="00031BE9"/>
    <w:rsid w:val="000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21BE-1DE2-4700-8898-733CD69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BE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1BE9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31BE9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31BE9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1BE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31BE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31BE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031BE9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031BE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3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031BE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31BE9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031BE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3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31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2000253809?pwd=0v5NBOaaSYCiQMgRktsB0tcDvfeD1c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cortez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1</cp:revision>
  <dcterms:created xsi:type="dcterms:W3CDTF">2025-05-28T23:38:00Z</dcterms:created>
  <dcterms:modified xsi:type="dcterms:W3CDTF">2025-05-28T23:40:00Z</dcterms:modified>
</cp:coreProperties>
</file>