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87" w:rsidRDefault="00F23087" w:rsidP="00F23087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F23087" w:rsidRPr="009B35EF" w:rsidRDefault="00F23087" w:rsidP="00F23087">
      <w:pPr>
        <w:jc w:val="center"/>
        <w:rPr>
          <w:sz w:val="2"/>
          <w:lang w:val="es-BO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36"/>
        <w:gridCol w:w="312"/>
        <w:gridCol w:w="274"/>
        <w:gridCol w:w="819"/>
        <w:gridCol w:w="819"/>
        <w:gridCol w:w="273"/>
      </w:tblGrid>
      <w:tr w:rsidR="00F23087" w:rsidRPr="009956C4" w:rsidTr="007C2468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F23087" w:rsidRPr="009956C4" w:rsidRDefault="00F23087" w:rsidP="00F9446E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F23087" w:rsidRPr="0054356D" w:rsidTr="007C2468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23087" w:rsidRPr="0054356D" w:rsidRDefault="00F23087" w:rsidP="007C2468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F23087" w:rsidRPr="009956C4" w:rsidTr="007C2468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3087" w:rsidRPr="00A93AB0" w:rsidRDefault="00F23087" w:rsidP="007C24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D14236" w:rsidRDefault="00F23087" w:rsidP="007C2468">
            <w:pPr>
              <w:jc w:val="center"/>
              <w:rPr>
                <w:rFonts w:ascii="Arial" w:hAnsi="Arial" w:cs="Arial"/>
                <w:b/>
                <w:sz w:val="12"/>
                <w:lang w:val="es-BO"/>
              </w:rPr>
            </w:pPr>
            <w:r w:rsidRPr="00D14236">
              <w:rPr>
                <w:rFonts w:ascii="Arial" w:hAnsi="Arial" w:cs="Arial"/>
                <w:b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23087" w:rsidRPr="009956C4" w:rsidRDefault="00F23087" w:rsidP="007C246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F23087" w:rsidRPr="0054356D" w:rsidTr="007C2468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F23087" w:rsidRPr="00A93AB0" w:rsidRDefault="00F23087" w:rsidP="007C24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F23087" w:rsidRPr="009956C4" w:rsidTr="007C2468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3087" w:rsidRPr="00A93AB0" w:rsidRDefault="00F23087" w:rsidP="007C24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087" w:rsidRPr="009956C4" w:rsidRDefault="00F23087" w:rsidP="007C2468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F23087" w:rsidRPr="009956C4" w:rsidRDefault="00F23087" w:rsidP="007C246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64" w:type="dxa"/>
            <w:gridSpan w:val="9"/>
            <w:vMerge w:val="restart"/>
            <w:tcBorders>
              <w:right w:val="single" w:sz="4" w:space="0" w:color="auto"/>
            </w:tcBorders>
          </w:tcPr>
          <w:p w:rsidR="00F23087" w:rsidRPr="009956C4" w:rsidRDefault="00F23087" w:rsidP="007C246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9956C4" w:rsidRDefault="00F23087" w:rsidP="007C2468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101/2025 – 1</w:t>
            </w:r>
            <w:r w:rsidRPr="005065DA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23087" w:rsidRPr="009956C4" w:rsidRDefault="00F23087" w:rsidP="007C246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F23087" w:rsidRPr="009956C4" w:rsidTr="007C2468">
        <w:trPr>
          <w:trHeight w:val="80"/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3087" w:rsidRPr="009956C4" w:rsidRDefault="00F23087" w:rsidP="007C246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64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087" w:rsidRPr="009956C4" w:rsidRDefault="00F23087" w:rsidP="007C24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23087" w:rsidRPr="009956C4" w:rsidRDefault="00F23087" w:rsidP="007C246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F23087" w:rsidRPr="00A93AB0" w:rsidTr="007C2468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F23087" w:rsidRPr="00A93AB0" w:rsidRDefault="00F23087" w:rsidP="007C246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23087" w:rsidRPr="00A93AB0" w:rsidRDefault="00F23087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23087" w:rsidRPr="00A93AB0" w:rsidRDefault="00F23087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23087" w:rsidRPr="00A93AB0" w:rsidRDefault="00F23087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087" w:rsidRPr="00A93AB0" w:rsidRDefault="00F23087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23087" w:rsidRPr="00A93AB0" w:rsidRDefault="00F23087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23087" w:rsidRPr="00A93AB0" w:rsidRDefault="00F23087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23087" w:rsidRPr="00A93AB0" w:rsidRDefault="00F23087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3087" w:rsidRPr="00A93AB0" w:rsidRDefault="00F23087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3087" w:rsidRPr="00A93AB0" w:rsidRDefault="00F23087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3087" w:rsidRPr="00A93AB0" w:rsidRDefault="00F23087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087" w:rsidRPr="00A93AB0" w:rsidRDefault="00F23087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087" w:rsidRPr="00A93AB0" w:rsidRDefault="00F23087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087" w:rsidRPr="00A93AB0" w:rsidRDefault="00F23087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087" w:rsidRPr="00A93AB0" w:rsidRDefault="00F23087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087" w:rsidRPr="00A93AB0" w:rsidRDefault="00F23087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087" w:rsidRPr="00A93AB0" w:rsidRDefault="00F23087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087" w:rsidRPr="00A93AB0" w:rsidRDefault="00F23087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087" w:rsidRPr="00A93AB0" w:rsidRDefault="00F23087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087" w:rsidRPr="00A93AB0" w:rsidRDefault="00F23087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F23087" w:rsidRPr="00A93AB0" w:rsidRDefault="00F23087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F23087" w:rsidRPr="00A93AB0" w:rsidRDefault="00F23087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3087" w:rsidRPr="00A93AB0" w:rsidRDefault="00F23087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23087" w:rsidRPr="00A93AB0" w:rsidRDefault="00F23087" w:rsidP="007C246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23087" w:rsidRPr="00A93AB0" w:rsidRDefault="00F23087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F23087" w:rsidRPr="00A93AB0" w:rsidRDefault="00F23087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59"/>
        <w:gridCol w:w="805"/>
        <w:gridCol w:w="753"/>
        <w:gridCol w:w="259"/>
      </w:tblGrid>
      <w:tr w:rsidR="00F23087" w:rsidRPr="00A93AB0" w:rsidTr="007C2468">
        <w:trPr>
          <w:trHeight w:val="220"/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3087" w:rsidRPr="00A93AB0" w:rsidRDefault="00F23087" w:rsidP="007C2468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A93AB0" w:rsidRDefault="00F23087" w:rsidP="007C246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A93AB0" w:rsidRDefault="00F23087" w:rsidP="007C246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087" w:rsidRPr="00A93AB0" w:rsidRDefault="00F23087" w:rsidP="007C246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A93AB0" w:rsidRDefault="00F23087" w:rsidP="007C246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A93AB0" w:rsidRDefault="00F23087" w:rsidP="007C246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A93AB0" w:rsidRDefault="00F23087" w:rsidP="007C246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A93AB0" w:rsidRDefault="00F23087" w:rsidP="007C246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087" w:rsidRPr="00A93AB0" w:rsidRDefault="00F23087" w:rsidP="007C246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A93AB0" w:rsidRDefault="00F23087" w:rsidP="007C246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A93AB0" w:rsidRDefault="00F23087" w:rsidP="007C246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087" w:rsidRPr="00A93AB0" w:rsidRDefault="00F23087" w:rsidP="007C246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A93AB0" w:rsidRDefault="00F23087" w:rsidP="007C246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A93AB0" w:rsidRDefault="00F23087" w:rsidP="007C246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A93AB0" w:rsidRDefault="00F23087" w:rsidP="007C246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A93AB0" w:rsidRDefault="00F23087" w:rsidP="007C246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A93AB0" w:rsidRDefault="00F23087" w:rsidP="007C246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A93AB0" w:rsidRDefault="00F23087" w:rsidP="007C246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A93AB0" w:rsidRDefault="00F23087" w:rsidP="007C246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087" w:rsidRPr="00A93AB0" w:rsidRDefault="00F23087" w:rsidP="007C246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A93AB0" w:rsidRDefault="00F23087" w:rsidP="007C246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087" w:rsidRPr="00A93AB0" w:rsidRDefault="00F23087" w:rsidP="007C246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A93AB0" w:rsidRDefault="00F23087" w:rsidP="007C246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F23087" w:rsidRPr="00A93AB0" w:rsidRDefault="00F23087" w:rsidP="007C24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F23087" w:rsidRPr="00A93AB0" w:rsidRDefault="00F23087" w:rsidP="007C246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A93AB0" w:rsidRDefault="00F23087" w:rsidP="007C246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23087" w:rsidRPr="00A93AB0" w:rsidRDefault="00F23087" w:rsidP="007C2468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W w:w="10342" w:type="dxa"/>
        <w:jc w:val="center"/>
        <w:tblLook w:val="04A0" w:firstRow="1" w:lastRow="0" w:firstColumn="1" w:lastColumn="0" w:noHBand="0" w:noVBand="1"/>
      </w:tblPr>
      <w:tblGrid>
        <w:gridCol w:w="1799"/>
        <w:gridCol w:w="312"/>
        <w:gridCol w:w="281"/>
        <w:gridCol w:w="282"/>
        <w:gridCol w:w="271"/>
        <w:gridCol w:w="276"/>
        <w:gridCol w:w="275"/>
        <w:gridCol w:w="273"/>
        <w:gridCol w:w="8"/>
        <w:gridCol w:w="302"/>
        <w:gridCol w:w="10"/>
        <w:gridCol w:w="275"/>
        <w:gridCol w:w="275"/>
        <w:gridCol w:w="272"/>
        <w:gridCol w:w="272"/>
        <w:gridCol w:w="271"/>
        <w:gridCol w:w="272"/>
        <w:gridCol w:w="272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71"/>
      </w:tblGrid>
      <w:tr w:rsidR="00F23087" w:rsidRPr="002662F5" w:rsidTr="007C2468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F23087" w:rsidRPr="002662F5" w:rsidRDefault="00F23087" w:rsidP="007C246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F23087" w:rsidRPr="00A93AB0" w:rsidTr="007C2468">
        <w:trPr>
          <w:trHeight w:val="288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3087" w:rsidRPr="00A93AB0" w:rsidRDefault="00F23087" w:rsidP="007C2468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27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A93AB0" w:rsidRDefault="00F23087" w:rsidP="007C2468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ADQUISICIÓN DE TELEFONOS IP EJECUTIVOS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23087" w:rsidRPr="00A93AB0" w:rsidRDefault="00F23087" w:rsidP="007C2468">
            <w:pPr>
              <w:rPr>
                <w:rFonts w:ascii="Arial" w:hAnsi="Arial" w:cs="Arial"/>
                <w:lang w:val="es-BO"/>
              </w:rPr>
            </w:pPr>
          </w:p>
        </w:tc>
      </w:tr>
      <w:tr w:rsidR="00F23087" w:rsidRPr="0054356D" w:rsidTr="007C2468">
        <w:trPr>
          <w:trHeight w:val="20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F23087" w:rsidRPr="0054356D" w:rsidRDefault="00F23087" w:rsidP="007C2468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F23087" w:rsidRPr="0054356D" w:rsidRDefault="00F23087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F23087" w:rsidRPr="0054356D" w:rsidRDefault="00F23087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F23087" w:rsidRPr="0054356D" w:rsidRDefault="00F23087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F23087" w:rsidRPr="009956C4" w:rsidTr="007C2468">
        <w:trPr>
          <w:trHeight w:val="246"/>
          <w:jc w:val="center"/>
        </w:trPr>
        <w:tc>
          <w:tcPr>
            <w:tcW w:w="179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3087" w:rsidRPr="009956C4" w:rsidRDefault="00F23087" w:rsidP="007C246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507C36" w:rsidRDefault="00F23087" w:rsidP="007C2468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53" w:type="dxa"/>
            <w:gridSpan w:val="10"/>
            <w:tcBorders>
              <w:left w:val="single" w:sz="4" w:space="0" w:color="auto"/>
            </w:tcBorders>
            <w:vAlign w:val="center"/>
          </w:tcPr>
          <w:p w:rsidR="00F23087" w:rsidRPr="00507C36" w:rsidRDefault="00F23087" w:rsidP="007C2468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5" w:type="dxa"/>
            <w:shd w:val="clear" w:color="auto" w:fill="FFFFFF" w:themeFill="background1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  <w:vAlign w:val="center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2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F23087" w:rsidRPr="009956C4" w:rsidTr="007C2468">
        <w:trPr>
          <w:trHeight w:val="20"/>
          <w:jc w:val="center"/>
        </w:trPr>
        <w:tc>
          <w:tcPr>
            <w:tcW w:w="1799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23087" w:rsidRPr="009956C4" w:rsidRDefault="00F23087" w:rsidP="007C246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2" w:type="dxa"/>
            <w:gridSpan w:val="2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F23087" w:rsidRPr="009956C4" w:rsidTr="007C2468">
        <w:trPr>
          <w:trHeight w:val="212"/>
          <w:jc w:val="center"/>
        </w:trPr>
        <w:tc>
          <w:tcPr>
            <w:tcW w:w="179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3087" w:rsidRPr="009956C4" w:rsidRDefault="00F23087" w:rsidP="007C246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53" w:type="dxa"/>
            <w:gridSpan w:val="10"/>
            <w:tcBorders>
              <w:left w:val="single" w:sz="4" w:space="0" w:color="auto"/>
            </w:tcBorders>
            <w:vAlign w:val="center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5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F23087" w:rsidRPr="002662F5" w:rsidTr="007C2468">
        <w:trPr>
          <w:trHeight w:val="20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F23087" w:rsidRPr="002662F5" w:rsidRDefault="00F23087" w:rsidP="007C246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F23087" w:rsidRPr="002662F5" w:rsidRDefault="00F23087" w:rsidP="007C246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F23087" w:rsidRPr="009956C4" w:rsidTr="007C2468">
        <w:trPr>
          <w:trHeight w:val="211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507C36" w:rsidRDefault="00F23087" w:rsidP="007C2468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087" w:rsidRPr="00507C36" w:rsidRDefault="00F23087" w:rsidP="007C2468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Por el Total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6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1" w:type="dxa"/>
            <w:shd w:val="clear" w:color="auto" w:fill="FFFFFF" w:themeFill="background1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3087" w:rsidRPr="0054356D" w:rsidTr="007C2468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F23087" w:rsidRPr="0054356D" w:rsidRDefault="00F23087" w:rsidP="007C2468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F23087" w:rsidRPr="0054356D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F23087" w:rsidRPr="009956C4" w:rsidTr="007C2468">
        <w:trPr>
          <w:jc w:val="center"/>
        </w:trPr>
        <w:tc>
          <w:tcPr>
            <w:tcW w:w="179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3087" w:rsidRPr="009956C4" w:rsidRDefault="00F23087" w:rsidP="007C24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7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9956C4" w:rsidRDefault="00F23087" w:rsidP="007C2468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Bs120.000 (Ciento Veinte Mil 00/100/ bolivianos)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3087" w:rsidRPr="009956C4" w:rsidTr="007C2468">
        <w:trPr>
          <w:trHeight w:val="48"/>
          <w:jc w:val="center"/>
        </w:trPr>
        <w:tc>
          <w:tcPr>
            <w:tcW w:w="179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3087" w:rsidRPr="009956C4" w:rsidRDefault="00F23087" w:rsidP="007C24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3087" w:rsidRPr="002662F5" w:rsidTr="007C2468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F23087" w:rsidRPr="002662F5" w:rsidRDefault="00F23087" w:rsidP="007C246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F23087" w:rsidRPr="009956C4" w:rsidTr="007C2468">
        <w:trPr>
          <w:trHeight w:val="240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3087" w:rsidRPr="009956C4" w:rsidRDefault="00F23087" w:rsidP="007C246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507C36" w:rsidRDefault="00F23087" w:rsidP="007C2468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</w:tcBorders>
            <w:vAlign w:val="center"/>
          </w:tcPr>
          <w:p w:rsidR="00F23087" w:rsidRPr="00507C36" w:rsidRDefault="00F23087" w:rsidP="007C2468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BB622A" w:rsidRDefault="00F23087" w:rsidP="007C2468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4366" w:type="dxa"/>
            <w:gridSpan w:val="17"/>
            <w:tcBorders>
              <w:left w:val="single" w:sz="4" w:space="0" w:color="auto"/>
            </w:tcBorders>
            <w:vAlign w:val="center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F23087" w:rsidRPr="002662F5" w:rsidTr="007C2468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F23087" w:rsidRPr="002662F5" w:rsidRDefault="00F23087" w:rsidP="007C246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F23087" w:rsidRPr="009956C4" w:rsidTr="007C2468">
        <w:trPr>
          <w:jc w:val="center"/>
        </w:trPr>
        <w:tc>
          <w:tcPr>
            <w:tcW w:w="179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3087" w:rsidRPr="009956C4" w:rsidRDefault="00F23087" w:rsidP="007C2468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7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375E4D" w:rsidRDefault="00F23087" w:rsidP="007C2468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375E4D">
              <w:rPr>
                <w:rFonts w:ascii="Arial" w:hAnsi="Arial" w:cs="Arial"/>
                <w:lang w:eastAsia="zh-CN"/>
              </w:rPr>
              <w:t xml:space="preserve">El proponente debe entregar los bienes en un plazo no mayor a </w:t>
            </w:r>
            <w:r>
              <w:rPr>
                <w:rFonts w:ascii="Arial" w:hAnsi="Arial" w:cs="Arial"/>
                <w:lang w:eastAsia="zh-CN"/>
              </w:rPr>
              <w:t>quince</w:t>
            </w:r>
            <w:r w:rsidRPr="00375E4D">
              <w:rPr>
                <w:rFonts w:ascii="Arial" w:hAnsi="Arial" w:cs="Arial"/>
                <w:lang w:eastAsia="zh-CN"/>
              </w:rPr>
              <w:t xml:space="preserve"> (</w:t>
            </w:r>
            <w:r>
              <w:rPr>
                <w:rFonts w:ascii="Arial" w:hAnsi="Arial" w:cs="Arial"/>
                <w:lang w:eastAsia="zh-CN"/>
              </w:rPr>
              <w:t>15</w:t>
            </w:r>
            <w:r w:rsidRPr="00375E4D">
              <w:rPr>
                <w:rFonts w:ascii="Arial" w:hAnsi="Arial" w:cs="Arial"/>
                <w:lang w:eastAsia="zh-CN"/>
              </w:rPr>
              <w:t>) días calendario, a partir del siguiente día hábil a la firma del contrato.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3087" w:rsidRPr="009956C4" w:rsidTr="007C2468">
        <w:trPr>
          <w:trHeight w:val="256"/>
          <w:jc w:val="center"/>
        </w:trPr>
        <w:tc>
          <w:tcPr>
            <w:tcW w:w="179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3087" w:rsidRPr="009956C4" w:rsidRDefault="00F23087" w:rsidP="007C24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3087" w:rsidRPr="002662F5" w:rsidTr="007C2468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F23087" w:rsidRPr="002662F5" w:rsidRDefault="00F23087" w:rsidP="007C246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F23087" w:rsidRPr="002662F5" w:rsidTr="007C2468">
        <w:trPr>
          <w:trHeight w:val="711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3087" w:rsidRPr="009956C4" w:rsidRDefault="00F23087" w:rsidP="007C24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bookmarkStart w:id="1" w:name="_GoBack"/>
            <w:bookmarkEnd w:id="1"/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F23087" w:rsidRPr="009956C4" w:rsidRDefault="00F23087" w:rsidP="007C24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  <w:p w:rsidR="00F23087" w:rsidRPr="002662F5" w:rsidRDefault="00F23087" w:rsidP="007C246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2"/>
                <w:lang w:val="es-BO"/>
              </w:rPr>
              <w:t>(Suprimir en caso de formalizar con Orden de Compra)</w:t>
            </w:r>
          </w:p>
        </w:tc>
        <w:tc>
          <w:tcPr>
            <w:tcW w:w="827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456D02" w:rsidRDefault="00F23087" w:rsidP="007C2468">
            <w:pPr>
              <w:jc w:val="both"/>
              <w:rPr>
                <w:rFonts w:ascii="Arial" w:hAnsi="Arial" w:cs="Arial"/>
                <w:bCs/>
                <w:iCs/>
                <w:lang w:eastAsia="es-BO"/>
              </w:rPr>
            </w:pPr>
            <w:r w:rsidRPr="00456D02">
              <w:rPr>
                <w:rFonts w:ascii="Arial" w:hAnsi="Arial" w:cs="Arial"/>
                <w:lang w:eastAsia="zh-CN"/>
              </w:rPr>
              <w:t>El proponente deberá constituir la Garantía de Cumplimiento de Contrato, de acuerdo al D.S. N° 181 y normativa vigente, pudiendo</w:t>
            </w:r>
            <w:r w:rsidRPr="00456D02">
              <w:rPr>
                <w:rFonts w:ascii="Arial" w:hAnsi="Arial" w:cs="Arial"/>
                <w:bCs/>
                <w:iCs/>
                <w:lang w:eastAsia="es-BO"/>
              </w:rPr>
              <w:t xml:space="preserve"> elegir entre: Boleta de Garantía, Garantía a Primer Requerimiento o Póliza de Seguro de Caución a Primer Requerimiento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F23087" w:rsidRPr="002662F5" w:rsidTr="007C2468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F23087" w:rsidRPr="009956C4" w:rsidRDefault="00F23087" w:rsidP="007C24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2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087" w:rsidRPr="004F005E" w:rsidRDefault="00F23087" w:rsidP="007C2468">
            <w:pPr>
              <w:jc w:val="both"/>
              <w:rPr>
                <w:rFonts w:ascii="Arial" w:hAnsi="Arial" w:cs="Arial"/>
                <w:bCs/>
                <w:iCs/>
                <w:sz w:val="14"/>
                <w:szCs w:val="22"/>
                <w:lang w:val="es-BO" w:eastAsia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F23087" w:rsidRPr="002662F5" w:rsidTr="007C2468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3087" w:rsidRPr="009956C4" w:rsidRDefault="00F23087" w:rsidP="007C24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Funcionamiento  de Maquinaria y/o Equipo                            </w:t>
            </w:r>
            <w:r w:rsidRPr="009956C4">
              <w:rPr>
                <w:rFonts w:ascii="Arial" w:hAnsi="Arial" w:cs="Arial"/>
                <w:b/>
                <w:i/>
                <w:sz w:val="12"/>
                <w:lang w:val="es-BO"/>
              </w:rPr>
              <w:t>(Suprimir en caso de que no se requiera)</w:t>
            </w:r>
          </w:p>
        </w:tc>
        <w:tc>
          <w:tcPr>
            <w:tcW w:w="827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1437B6" w:rsidRDefault="00F23087" w:rsidP="007C2468">
            <w:pPr>
              <w:jc w:val="both"/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</w:pPr>
            <w:r w:rsidRPr="001437B6"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  <w:t>El proveedor debe presentar una Garantía de Funcionamiento de Maquinaria y/o Equipo vigente por un periodo de</w:t>
            </w:r>
            <w:r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  <w:t xml:space="preserve"> un</w:t>
            </w:r>
            <w:r w:rsidRPr="001437B6"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  <w:t xml:space="preserve"> (</w:t>
            </w:r>
            <w:r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  <w:t>1</w:t>
            </w:r>
            <w:r w:rsidRPr="001437B6"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  <w:t xml:space="preserve">) año y treinta (30) días calendario, que serán computables a partir de la fecha de emisión del acta de recepción, por el importe del 1.5% del monto total del contrato, el proveedor decidirá el tipo de garantía a presentar entre: </w:t>
            </w:r>
          </w:p>
          <w:p w:rsidR="00F23087" w:rsidRPr="001437B6" w:rsidRDefault="00F23087" w:rsidP="00F9446E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</w:pPr>
            <w:r w:rsidRPr="001437B6"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  <w:t xml:space="preserve">Boleta de Garantía, </w:t>
            </w:r>
          </w:p>
          <w:p w:rsidR="00F23087" w:rsidRPr="001437B6" w:rsidRDefault="00F23087" w:rsidP="00F9446E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</w:pPr>
            <w:r w:rsidRPr="001437B6"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  <w:t>Garantía a Primer Requerimiento</w:t>
            </w:r>
          </w:p>
          <w:p w:rsidR="00F23087" w:rsidRPr="001437B6" w:rsidRDefault="00F23087" w:rsidP="00F9446E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</w:pPr>
            <w:r w:rsidRPr="001437B6"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  <w:t xml:space="preserve">Póliza de Seguro de Caución a Primer Requerimiento.  </w:t>
            </w:r>
          </w:p>
          <w:p w:rsidR="00F23087" w:rsidRPr="001437B6" w:rsidRDefault="00F23087" w:rsidP="007C2468">
            <w:pPr>
              <w:jc w:val="both"/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</w:pPr>
            <w:r w:rsidRPr="001437B6"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  <w:t xml:space="preserve">A solicitud del proveedor, en sustitución de esta garantía, el BCB podrá efectuar una retención del 1.5% del monto total del contrato. </w:t>
            </w:r>
          </w:p>
          <w:p w:rsidR="00F23087" w:rsidRPr="001437B6" w:rsidRDefault="00F23087" w:rsidP="007C2468">
            <w:pPr>
              <w:jc w:val="both"/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</w:pPr>
            <w:r w:rsidRPr="001437B6"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  <w:t>El personal designado por la Gerencia de Sistemas será el encargado de hacer seguimiento a los servicios cubiertos por esta garantía y emitirá el informe de conformidad a la conclusión.</w:t>
            </w:r>
          </w:p>
          <w:p w:rsidR="00F23087" w:rsidRPr="001437B6" w:rsidRDefault="00F23087" w:rsidP="007C2468">
            <w:pPr>
              <w:jc w:val="both"/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</w:pPr>
            <w:r w:rsidRPr="001437B6"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  <w:t>La garantía será devuelta una vez concluido su periodo, siempre y cuando el proveedor hubiese cumplido con todas las obligaciones contractuales, el documento de garantía deberá ser entregada antes de la emisión del Acta de Recepción.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F23087" w:rsidRPr="002662F5" w:rsidTr="007C2468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23087" w:rsidRPr="002662F5" w:rsidRDefault="00F23087" w:rsidP="007C246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F23087" w:rsidRPr="009956C4" w:rsidTr="007C2468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087" w:rsidRPr="00507C36" w:rsidRDefault="00F23087" w:rsidP="007C2468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F23087" w:rsidRPr="00507C36" w:rsidRDefault="00F23087" w:rsidP="007C2468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3087" w:rsidRPr="009956C4" w:rsidTr="007C2468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23087" w:rsidRPr="009956C4" w:rsidRDefault="00F23087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F23087" w:rsidRPr="009956C4" w:rsidTr="007C2468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3087" w:rsidRPr="009956C4" w:rsidTr="007C2468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3087" w:rsidRPr="009956C4" w:rsidTr="007C2468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3087" w:rsidRPr="009956C4" w:rsidTr="007C2468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F23087" w:rsidRPr="009956C4" w:rsidTr="007C2468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F23087" w:rsidRPr="009956C4" w:rsidRDefault="00F23087" w:rsidP="007C24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F23087" w:rsidRPr="009956C4" w:rsidRDefault="00F23087" w:rsidP="007C2468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F23087" w:rsidRPr="009956C4" w:rsidRDefault="00F23087" w:rsidP="007C2468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F23087" w:rsidRPr="009956C4" w:rsidRDefault="00F23087" w:rsidP="007C246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F23087" w:rsidRPr="009956C4" w:rsidRDefault="00F23087" w:rsidP="007C246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3087" w:rsidRPr="009956C4" w:rsidTr="007C2468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23087" w:rsidRPr="009956C4" w:rsidRDefault="00F23087" w:rsidP="007C246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vMerge/>
            <w:vAlign w:val="center"/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00" w:type="dxa"/>
            <w:gridSpan w:val="23"/>
            <w:vMerge/>
          </w:tcPr>
          <w:p w:rsidR="00F23087" w:rsidRPr="009956C4" w:rsidRDefault="00F23087" w:rsidP="007C246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F23087" w:rsidRPr="009956C4" w:rsidRDefault="00F23087" w:rsidP="007C246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F23087" w:rsidRPr="009956C4" w:rsidRDefault="00F23087" w:rsidP="007C246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3087" w:rsidRPr="009956C4" w:rsidTr="007C2468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23087" w:rsidRPr="009956C4" w:rsidRDefault="00F23087" w:rsidP="007C246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F23087" w:rsidRPr="009956C4" w:rsidRDefault="00F23087" w:rsidP="007C2468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9956C4" w:rsidRDefault="00F23087" w:rsidP="007C246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9956C4" w:rsidRDefault="00F23087" w:rsidP="007C246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23087" w:rsidRPr="009956C4" w:rsidRDefault="00F23087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3087" w:rsidRPr="009956C4" w:rsidTr="007C2468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23087" w:rsidRPr="009956C4" w:rsidTr="007C2468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F23087" w:rsidRPr="009956C4" w:rsidRDefault="00F23087" w:rsidP="00F9446E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23087" w:rsidRPr="009956C4" w:rsidTr="007C2468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23087" w:rsidRPr="009956C4" w:rsidTr="007C2468">
        <w:trPr>
          <w:trHeight w:val="177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3087" w:rsidRPr="009956C4" w:rsidRDefault="00F23087" w:rsidP="007C2468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087" w:rsidRPr="009956C4" w:rsidRDefault="00F23087" w:rsidP="007C2468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087" w:rsidRPr="009956C4" w:rsidRDefault="00F23087" w:rsidP="007C246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8</w:t>
            </w:r>
            <w:r w:rsidRPr="005065DA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00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 a 16</w:t>
            </w:r>
            <w:r w:rsidRPr="005065DA">
              <w:rPr>
                <w:rFonts w:ascii="Arial" w:hAnsi="Arial" w:cs="Arial"/>
                <w:bCs/>
                <w:lang w:val="es-BO" w:eastAsia="es-BO"/>
              </w:rPr>
              <w:t>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23087" w:rsidRPr="009956C4" w:rsidRDefault="00F23087" w:rsidP="007C2468">
            <w:pPr>
              <w:rPr>
                <w:rFonts w:ascii="Arial" w:hAnsi="Arial" w:cs="Arial"/>
                <w:lang w:val="es-BO"/>
              </w:rPr>
            </w:pPr>
          </w:p>
        </w:tc>
      </w:tr>
      <w:tr w:rsidR="00F23087" w:rsidRPr="009956C4" w:rsidTr="007C2468">
        <w:trPr>
          <w:trHeight w:val="66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23087" w:rsidRPr="009956C4" w:rsidTr="007C2468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F23087" w:rsidRPr="009956C4" w:rsidRDefault="00F23087" w:rsidP="007C2468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72" w:type="dxa"/>
            <w:gridSpan w:val="9"/>
          </w:tcPr>
          <w:p w:rsidR="00F23087" w:rsidRPr="009956C4" w:rsidRDefault="00F23087" w:rsidP="007C2468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F23087" w:rsidRPr="009956C4" w:rsidRDefault="00F23087" w:rsidP="007C2468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F23087" w:rsidRPr="009956C4" w:rsidRDefault="00F23087" w:rsidP="007C246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F23087" w:rsidRPr="009956C4" w:rsidRDefault="00F23087" w:rsidP="007C246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F23087" w:rsidRPr="009956C4" w:rsidRDefault="00F23087" w:rsidP="007C246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F23087" w:rsidRPr="009956C4" w:rsidRDefault="00F23087" w:rsidP="007C246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F23087" w:rsidRPr="009956C4" w:rsidTr="007C2468">
        <w:trPr>
          <w:trHeight w:val="395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3087" w:rsidRPr="009956C4" w:rsidRDefault="00F23087" w:rsidP="007C2468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9956C4" w:rsidRDefault="00F23087" w:rsidP="007C246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Liliam Cortez Linares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087" w:rsidRPr="009956C4" w:rsidRDefault="00F23087" w:rsidP="007C246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9956C4" w:rsidRDefault="00F23087" w:rsidP="007C246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Técnico Administrativo en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087" w:rsidRPr="009956C4" w:rsidRDefault="00F23087" w:rsidP="007C246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E463DC" w:rsidRDefault="00F23087" w:rsidP="007C2468">
            <w:pPr>
              <w:jc w:val="center"/>
              <w:rPr>
                <w:rFonts w:ascii="Arial" w:hAnsi="Arial" w:cs="Arial"/>
                <w:lang w:val="es-BO"/>
              </w:rPr>
            </w:pPr>
            <w:r w:rsidRPr="00E463DC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23087" w:rsidRPr="009956C4" w:rsidRDefault="00F23087" w:rsidP="007C2468">
            <w:pPr>
              <w:rPr>
                <w:rFonts w:ascii="Arial" w:hAnsi="Arial" w:cs="Arial"/>
                <w:lang w:val="es-BO"/>
              </w:rPr>
            </w:pPr>
          </w:p>
        </w:tc>
      </w:tr>
      <w:tr w:rsidR="00F23087" w:rsidRPr="009956C4" w:rsidTr="007C2468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3087" w:rsidRPr="009956C4" w:rsidRDefault="00F23087" w:rsidP="007C24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A92B98" w:rsidRDefault="00F23087" w:rsidP="007C246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Erick Franz Belzu Ponce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087" w:rsidRPr="00A92B98" w:rsidRDefault="00F23087" w:rsidP="007C246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A92B98" w:rsidRDefault="00F23087" w:rsidP="007C246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Técnico de Soporte Junior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F23087" w:rsidRPr="00A92B98" w:rsidRDefault="00F23087" w:rsidP="007C246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375E4D" w:rsidRDefault="00F23087" w:rsidP="007C2468">
            <w:pPr>
              <w:jc w:val="center"/>
              <w:rPr>
                <w:rFonts w:ascii="Arial" w:hAnsi="Arial" w:cs="Arial"/>
                <w:lang w:val="es-BO"/>
              </w:rPr>
            </w:pPr>
            <w:r w:rsidRPr="00051737">
              <w:rPr>
                <w:rFonts w:ascii="Arial" w:hAnsi="Arial" w:cs="Arial"/>
              </w:rPr>
              <w:t xml:space="preserve">Departamento de </w:t>
            </w:r>
            <w:r>
              <w:rPr>
                <w:rFonts w:ascii="Arial" w:hAnsi="Arial" w:cs="Arial"/>
              </w:rPr>
              <w:t>Soporte Técnico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23087" w:rsidRPr="009956C4" w:rsidRDefault="00F23087" w:rsidP="007C2468">
            <w:pPr>
              <w:rPr>
                <w:rFonts w:ascii="Arial" w:hAnsi="Arial" w:cs="Arial"/>
                <w:lang w:val="es-BO"/>
              </w:rPr>
            </w:pPr>
          </w:p>
        </w:tc>
      </w:tr>
      <w:tr w:rsidR="00F23087" w:rsidRPr="002662F5" w:rsidTr="007C2468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23087" w:rsidRPr="002662F5" w:rsidRDefault="00F23087" w:rsidP="007C2468">
            <w:pPr>
              <w:jc w:val="right"/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23087" w:rsidRPr="002662F5" w:rsidRDefault="00F23087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F23087" w:rsidRPr="009956C4" w:rsidTr="007C2468">
        <w:trPr>
          <w:trHeight w:val="735"/>
          <w:jc w:val="center"/>
        </w:trPr>
        <w:tc>
          <w:tcPr>
            <w:tcW w:w="150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3087" w:rsidRPr="009956C4" w:rsidRDefault="00F23087" w:rsidP="007C2468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Default="00F23087" w:rsidP="007C2468">
            <w:pPr>
              <w:ind w:left="-74" w:right="-90" w:firstLine="28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 xml:space="preserve">2409090 Internos: </w:t>
            </w:r>
          </w:p>
          <w:p w:rsidR="00F23087" w:rsidRPr="00A92B98" w:rsidRDefault="00F23087" w:rsidP="007C2468">
            <w:pPr>
              <w:ind w:left="-74" w:right="-90" w:firstLine="28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>07</w:t>
            </w:r>
            <w:r w:rsidRPr="00A92B98">
              <w:rPr>
                <w:rFonts w:ascii="Arial" w:hAnsi="Arial" w:cs="Arial"/>
              </w:rPr>
              <w:t xml:space="preserve"> (Consultas Administrativas) </w:t>
            </w:r>
          </w:p>
          <w:p w:rsidR="00F23087" w:rsidRPr="00A92B98" w:rsidRDefault="00F23087" w:rsidP="007C246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1113</w:t>
            </w:r>
            <w:r w:rsidRPr="00A92B98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F23087" w:rsidRPr="009956C4" w:rsidRDefault="00F23087" w:rsidP="007C24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F23087" w:rsidRPr="009956C4" w:rsidRDefault="00F23087" w:rsidP="007C2468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087" w:rsidRPr="009956C4" w:rsidRDefault="00F23087" w:rsidP="007C2468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F23087" w:rsidRPr="009956C4" w:rsidRDefault="00F23087" w:rsidP="007C24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F23087" w:rsidRPr="009956C4" w:rsidRDefault="00F23087" w:rsidP="007C2468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087" w:rsidRPr="00A92B98" w:rsidRDefault="00F23087" w:rsidP="007C2468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hyperlink r:id="rId5" w:history="1">
              <w:r w:rsidRPr="00475AAC">
                <w:rPr>
                  <w:rStyle w:val="Hipervnculo"/>
                  <w:rFonts w:ascii="Arial" w:hAnsi="Arial" w:cs="Arial"/>
                  <w:szCs w:val="14"/>
                </w:rPr>
                <w:t>lcortez</w:t>
              </w:r>
              <w:r w:rsidRPr="00475AAC">
                <w:rPr>
                  <w:rStyle w:val="Hipervnculo"/>
                  <w:rFonts w:ascii="Arial" w:hAnsi="Arial" w:cs="Arial"/>
                  <w:szCs w:val="14"/>
                  <w:lang w:val="pt-BR"/>
                </w:rPr>
                <w:t>@bcb.gob.bo</w:t>
              </w:r>
            </w:hyperlink>
            <w:r w:rsidRPr="00A92B98">
              <w:rPr>
                <w:rFonts w:ascii="Arial" w:hAnsi="Arial" w:cs="Arial"/>
                <w:szCs w:val="14"/>
                <w:lang w:val="pt-BR"/>
              </w:rPr>
              <w:t xml:space="preserve">  </w:t>
            </w:r>
          </w:p>
          <w:p w:rsidR="00F23087" w:rsidRPr="00A92B98" w:rsidRDefault="00F23087" w:rsidP="007C2468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r w:rsidRPr="00A92B98">
              <w:rPr>
                <w:rFonts w:ascii="Arial" w:hAnsi="Arial" w:cs="Arial"/>
                <w:szCs w:val="14"/>
                <w:lang w:val="pt-BR"/>
              </w:rPr>
              <w:t>(Consultas Administrativas)</w:t>
            </w:r>
          </w:p>
          <w:p w:rsidR="00F23087" w:rsidRPr="009956C4" w:rsidRDefault="00F23087" w:rsidP="007C2468">
            <w:pPr>
              <w:rPr>
                <w:rFonts w:ascii="Arial" w:hAnsi="Arial" w:cs="Arial"/>
                <w:lang w:val="es-BO"/>
              </w:rPr>
            </w:pPr>
            <w:r>
              <w:rPr>
                <w:rStyle w:val="Hipervnculo"/>
              </w:rPr>
              <w:t>epbelzu</w:t>
            </w:r>
            <w:r w:rsidRPr="001437B6">
              <w:rPr>
                <w:rStyle w:val="Hipervnculo"/>
              </w:rPr>
              <w:t xml:space="preserve">@bcb.gob.bo </w:t>
            </w:r>
            <w:r w:rsidRPr="00A92B98">
              <w:rPr>
                <w:rFonts w:ascii="Arial" w:hAnsi="Arial" w:cs="Arial"/>
                <w:szCs w:val="14"/>
              </w:rPr>
              <w:t>(Consultas Técnicas)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23087" w:rsidRPr="009956C4" w:rsidRDefault="00F23087" w:rsidP="007C2468">
            <w:pPr>
              <w:rPr>
                <w:rFonts w:ascii="Arial" w:hAnsi="Arial" w:cs="Arial"/>
                <w:lang w:val="es-BO"/>
              </w:rPr>
            </w:pPr>
          </w:p>
        </w:tc>
      </w:tr>
      <w:tr w:rsidR="00F23087" w:rsidRPr="009956C4" w:rsidTr="007C2468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23087" w:rsidRPr="009956C4" w:rsidTr="007C2468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087" w:rsidRPr="00402294" w:rsidRDefault="00F23087" w:rsidP="007C2468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E463DC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E463DC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7219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</w:tcPr>
          <w:p w:rsidR="00F23087" w:rsidRDefault="00F23087" w:rsidP="007C2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F23087" w:rsidRDefault="00F23087" w:rsidP="007C2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F23087" w:rsidRDefault="00F23087" w:rsidP="007C2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Moneda: </w:t>
            </w:r>
            <w:proofErr w:type="gramStart"/>
            <w:r>
              <w:rPr>
                <w:rFonts w:ascii="Arial" w:hAnsi="Arial" w:cs="Arial"/>
                <w:lang w:val="es-BO"/>
              </w:rPr>
              <w:t>Bolivianos</w:t>
            </w:r>
            <w:proofErr w:type="gramEnd"/>
            <w:r>
              <w:rPr>
                <w:rFonts w:ascii="Arial" w:hAnsi="Arial" w:cs="Arial"/>
                <w:lang w:val="es-BO"/>
              </w:rPr>
              <w:t xml:space="preserve">. </w:t>
            </w:r>
            <w:r w:rsidRPr="004F005E">
              <w:rPr>
                <w:rFonts w:ascii="Arial" w:hAnsi="Arial" w:cs="Arial"/>
                <w:b/>
                <w:highlight w:val="yellow"/>
                <w:lang w:val="es-BO"/>
              </w:rPr>
              <w:t>(NO APLICA)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23087" w:rsidRPr="009956C4" w:rsidTr="007C2468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219" w:type="dxa"/>
            <w:gridSpan w:val="33"/>
            <w:vMerge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23087" w:rsidRPr="009956C4" w:rsidTr="007C2468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219" w:type="dxa"/>
            <w:gridSpan w:val="33"/>
            <w:vMerge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F23087" w:rsidRPr="009956C4" w:rsidRDefault="00F23087" w:rsidP="007C2468">
            <w:pPr>
              <w:pStyle w:val="Ttulo3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23087" w:rsidRPr="009956C4" w:rsidTr="007C2468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219" w:type="dxa"/>
            <w:gridSpan w:val="3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F23087" w:rsidRPr="009956C4" w:rsidRDefault="00F23087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F23087" w:rsidRDefault="00F23087" w:rsidP="00F23087">
      <w:pPr>
        <w:rPr>
          <w:lang w:val="es-BO"/>
        </w:rPr>
      </w:pPr>
    </w:p>
    <w:p w:rsidR="00F9446E" w:rsidRDefault="00F9446E" w:rsidP="00F23087">
      <w:pPr>
        <w:rPr>
          <w:lang w:val="es-BO"/>
        </w:rPr>
      </w:pPr>
    </w:p>
    <w:p w:rsidR="00F9446E" w:rsidRDefault="00F9446E" w:rsidP="00F23087">
      <w:pPr>
        <w:rPr>
          <w:lang w:val="es-BO"/>
        </w:rPr>
      </w:pPr>
    </w:p>
    <w:p w:rsidR="00F9446E" w:rsidRDefault="00F9446E" w:rsidP="00F23087">
      <w:pPr>
        <w:rPr>
          <w:lang w:val="es-BO"/>
        </w:rPr>
      </w:pPr>
    </w:p>
    <w:p w:rsidR="00F9446E" w:rsidRDefault="00F9446E" w:rsidP="00F23087">
      <w:pPr>
        <w:rPr>
          <w:lang w:val="es-BO"/>
        </w:rPr>
      </w:pPr>
    </w:p>
    <w:p w:rsidR="00F23087" w:rsidRPr="009956C4" w:rsidRDefault="00F23087" w:rsidP="00F23087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2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2"/>
    </w:p>
    <w:p w:rsidR="00F23087" w:rsidRPr="00DF1D1E" w:rsidRDefault="00F23087" w:rsidP="00F23087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F23087" w:rsidRPr="009956C4" w:rsidTr="007C2468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087" w:rsidRDefault="00F23087" w:rsidP="007C2468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3" w:name="OLE_LINK3"/>
            <w:bookmarkStart w:id="4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F23087" w:rsidRPr="00DF1D1E" w:rsidRDefault="00F23087" w:rsidP="007C2468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F23087" w:rsidRDefault="00F23087" w:rsidP="00F9446E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F23087" w:rsidRPr="00DF1D1E" w:rsidRDefault="00F23087" w:rsidP="007C2468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F23087" w:rsidRPr="009956C4" w:rsidRDefault="00F23087" w:rsidP="00F9446E">
            <w:pPr>
              <w:pStyle w:val="Prrafodelista"/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F23087" w:rsidRPr="009956C4" w:rsidRDefault="00F23087" w:rsidP="00F9446E">
            <w:pPr>
              <w:pStyle w:val="Prrafodelista"/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F23087" w:rsidRPr="009956C4" w:rsidRDefault="00F23087" w:rsidP="007C2468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F23087" w:rsidRPr="00DF1D1E" w:rsidRDefault="00F23087" w:rsidP="007C2468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F23087" w:rsidRPr="009956C4" w:rsidRDefault="00F23087" w:rsidP="00F9446E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F23087" w:rsidRPr="00DF1D1E" w:rsidRDefault="00F23087" w:rsidP="007C2468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F23087" w:rsidRPr="009956C4" w:rsidRDefault="00F23087" w:rsidP="00F9446E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F23087" w:rsidRPr="00DF1D1E" w:rsidRDefault="00F23087" w:rsidP="007C2468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F23087" w:rsidRPr="009956C4" w:rsidRDefault="00F23087" w:rsidP="007C2468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F23087" w:rsidRPr="00DF1D1E" w:rsidRDefault="00F23087" w:rsidP="00F23087">
      <w:pPr>
        <w:jc w:val="right"/>
        <w:rPr>
          <w:rFonts w:ascii="Arial" w:hAnsi="Arial" w:cs="Arial"/>
          <w:sz w:val="12"/>
          <w:lang w:val="es-BO"/>
        </w:rPr>
      </w:pPr>
    </w:p>
    <w:p w:rsidR="00F23087" w:rsidRPr="009956C4" w:rsidRDefault="00F23087" w:rsidP="00F23087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F23087" w:rsidRPr="00DF1D1E" w:rsidRDefault="00F23087" w:rsidP="00F23087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1012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91"/>
        <w:gridCol w:w="7"/>
      </w:tblGrid>
      <w:tr w:rsidR="00F23087" w:rsidRPr="009956C4" w:rsidTr="007C2468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60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F23087" w:rsidRPr="009956C4" w:rsidTr="007C2468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3087" w:rsidRPr="009956C4" w:rsidTr="007C2468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087" w:rsidRPr="009956C4" w:rsidRDefault="00F23087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3087" w:rsidRPr="009956C4" w:rsidTr="007C246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3087" w:rsidRPr="009956C4" w:rsidTr="007C2468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087" w:rsidRPr="009956C4" w:rsidRDefault="00F23087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B22D02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B22D02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B22D02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B22D02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B22D02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B22D02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23087" w:rsidRPr="00B22D02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B22D02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B22D02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B22D02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AA247B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087" w:rsidRPr="00AA247B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AA247B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50D91">
              <w:rPr>
                <w:rFonts w:ascii="Arial" w:hAnsi="Arial" w:cs="Arial"/>
                <w:i/>
                <w:color w:val="0000FF"/>
                <w:sz w:val="14"/>
                <w:szCs w:val="14"/>
              </w:rPr>
              <w:t>NO APLICA</w:t>
            </w: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3087" w:rsidRPr="009956C4" w:rsidTr="007C246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6F7EE6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6F7EE6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6F7EE6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3087" w:rsidRPr="009956C4" w:rsidTr="007C2468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087" w:rsidRPr="009956C4" w:rsidRDefault="00F23087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6F7EE6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6F7EE6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6F7EE6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B50D91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2"/>
                <w:lang w:val="es-BO"/>
              </w:rPr>
            </w:pPr>
            <w:r w:rsidRPr="00B50D91">
              <w:rPr>
                <w:rFonts w:ascii="Arial" w:hAnsi="Arial" w:cs="Arial"/>
                <w:i/>
                <w:color w:val="0000FF"/>
                <w:sz w:val="14"/>
                <w:szCs w:val="14"/>
              </w:rPr>
              <w:t>NO APLICA</w:t>
            </w: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3087" w:rsidRPr="009956C4" w:rsidTr="007C246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6F7EE6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6F7EE6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6F7EE6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3087" w:rsidRPr="009956C4" w:rsidTr="007C2468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087" w:rsidRPr="009956C4" w:rsidRDefault="00F23087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6F7EE6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6F7EE6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6F7EE6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D5229F" w:rsidRDefault="00F23087" w:rsidP="007C2468">
            <w:pPr>
              <w:jc w:val="center"/>
              <w:rPr>
                <w:rFonts w:ascii="Helvetica" w:hAnsi="Helvetica" w:cs="Helvetica"/>
                <w:color w:val="0000FF"/>
                <w:sz w:val="8"/>
                <w:szCs w:val="14"/>
              </w:rPr>
            </w:pPr>
            <w:r w:rsidRPr="00B50D91">
              <w:rPr>
                <w:rFonts w:ascii="Arial" w:hAnsi="Arial" w:cs="Arial"/>
                <w:i/>
                <w:color w:val="0000FF"/>
                <w:sz w:val="14"/>
                <w:szCs w:val="14"/>
              </w:rPr>
              <w:t>NO APLICA</w:t>
            </w: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3087" w:rsidRPr="009956C4" w:rsidTr="007C246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6F7EE6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6F7EE6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6F7EE6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3087" w:rsidRPr="009956C4" w:rsidTr="007C246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087" w:rsidRPr="009956C4" w:rsidRDefault="00F23087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6F7EE6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6F7EE6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6F7EE6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9E7F5A" w:rsidRDefault="00F23087" w:rsidP="007C2468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F23087" w:rsidRPr="009E7F5A" w:rsidRDefault="00F23087" w:rsidP="00F9446E">
            <w:pPr>
              <w:pStyle w:val="Textoindependiente3"/>
              <w:numPr>
                <w:ilvl w:val="0"/>
                <w:numId w:val="9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F23087" w:rsidRPr="00584336" w:rsidRDefault="00F23087" w:rsidP="007C2468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</w:t>
            </w: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3087" w:rsidRPr="009956C4" w:rsidTr="007C2468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087" w:rsidRPr="006F7EE6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6F7EE6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087" w:rsidRPr="006F7EE6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23087" w:rsidRPr="009956C4" w:rsidTr="007C2468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3087" w:rsidRPr="006F7EE6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6F7EE6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3087" w:rsidRPr="006F7EE6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2662F5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23087" w:rsidRPr="009956C4" w:rsidTr="007C246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6F7EE6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6F7EE6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6F7EE6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2662F5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087" w:rsidRPr="00FD7E8D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FD7E8D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3087" w:rsidRPr="009956C4" w:rsidTr="007C246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087" w:rsidRPr="009956C4" w:rsidRDefault="00F23087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6F7EE6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6F7EE6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6F7EE6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  <w:r w:rsidRPr="006F7EE6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2662F5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087" w:rsidRPr="00FD7E8D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FD7E8D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3087" w:rsidRPr="009956C4" w:rsidTr="007C2468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087" w:rsidRPr="006F7EE6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6F7EE6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087" w:rsidRPr="006F7EE6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087" w:rsidRPr="00FD7E8D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087" w:rsidRPr="00FD7E8D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23087" w:rsidRPr="009956C4" w:rsidTr="007C2468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23087" w:rsidRPr="009956C4" w:rsidRDefault="00F23087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3087" w:rsidRPr="007807DF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3087" w:rsidRPr="00D5229F" w:rsidRDefault="00F23087" w:rsidP="007C246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3087" w:rsidRPr="006F7EE6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6F7EE6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3087" w:rsidRPr="006F7EE6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51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087" w:rsidRPr="00FD7E8D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3087" w:rsidRPr="006E58BA" w:rsidRDefault="00F23087" w:rsidP="007C2468">
            <w:pPr>
              <w:adjustRightInd w:val="0"/>
              <w:snapToGrid w:val="0"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6E58BA">
              <w:rPr>
                <w:rFonts w:ascii="Arial" w:hAnsi="Arial" w:cs="Arial"/>
                <w:color w:val="0000FF"/>
                <w:sz w:val="14"/>
                <w:szCs w:val="14"/>
              </w:rPr>
              <w:t>APERTURA DE PROPUESTAS:</w:t>
            </w:r>
          </w:p>
          <w:p w:rsidR="00F23087" w:rsidRPr="006E58BA" w:rsidRDefault="00F23087" w:rsidP="007C2468">
            <w:pPr>
              <w:adjustRightInd w:val="0"/>
              <w:snapToGrid w:val="0"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6E58BA">
              <w:rPr>
                <w:rFonts w:ascii="Arial" w:hAnsi="Arial" w:cs="Arial"/>
                <w:color w:val="0000FF"/>
                <w:sz w:val="14"/>
                <w:szCs w:val="14"/>
              </w:rPr>
              <w:t>Piso 7, Dpto. de Compras y Contrataciones del edificio principal del BCB o ingresar al siguiente enlace a través de ZOOM:</w:t>
            </w:r>
            <w:hyperlink r:id="rId6" w:history="1">
              <w:r w:rsidRPr="006E58BA">
                <w:rPr>
                  <w:rFonts w:ascii="Arial" w:hAnsi="Arial" w:cs="Arial"/>
                  <w:color w:val="0000FF"/>
                  <w:sz w:val="14"/>
                  <w:szCs w:val="14"/>
                </w:rPr>
                <w:t xml:space="preserve"> </w:t>
              </w:r>
            </w:hyperlink>
            <w:hyperlink r:id="rId7" w:history="1">
              <w:r w:rsidRPr="006E58BA">
                <w:rPr>
                  <w:rFonts w:ascii="Arial" w:hAnsi="Arial" w:cs="Arial"/>
                  <w:color w:val="0000FF"/>
                  <w:sz w:val="14"/>
                  <w:szCs w:val="14"/>
                </w:rPr>
                <w:br/>
              </w:r>
            </w:hyperlink>
            <w:r w:rsidRPr="009634C8">
              <w:rPr>
                <w:rFonts w:ascii="Arial" w:hAnsi="Arial" w:cs="Arial"/>
                <w:color w:val="0000FF"/>
                <w:sz w:val="14"/>
                <w:szCs w:val="14"/>
              </w:rPr>
              <w:t xml:space="preserve">https://bcb-gob-bo.zoom.us/j/83743431909?pwd=YRgaGrYDJoRmMfzopvoWeHd1MzZ1qP.1 </w:t>
            </w:r>
          </w:p>
          <w:p w:rsidR="00F23087" w:rsidRPr="006E58BA" w:rsidRDefault="00F23087" w:rsidP="007C2468">
            <w:pPr>
              <w:adjustRightInd w:val="0"/>
              <w:snapToGrid w:val="0"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6E58BA">
              <w:rPr>
                <w:rFonts w:ascii="Arial" w:hAnsi="Arial" w:cs="Arial"/>
                <w:color w:val="0000FF"/>
                <w:sz w:val="14"/>
                <w:szCs w:val="14"/>
              </w:rPr>
              <w:t>ID de reunión 837 4343 1909</w:t>
            </w:r>
          </w:p>
          <w:p w:rsidR="00F23087" w:rsidRPr="006E58BA" w:rsidRDefault="00F23087" w:rsidP="007C2468">
            <w:pPr>
              <w:adjustRightInd w:val="0"/>
              <w:snapToGrid w:val="0"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6E58BA">
              <w:rPr>
                <w:rFonts w:ascii="Arial" w:hAnsi="Arial" w:cs="Arial"/>
                <w:color w:val="0000FF"/>
                <w:sz w:val="14"/>
                <w:szCs w:val="14"/>
              </w:rPr>
              <w:t>Clave de acceso: 948554</w:t>
            </w: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23087" w:rsidRPr="009956C4" w:rsidTr="007C2468">
        <w:trPr>
          <w:trHeight w:val="992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087" w:rsidRPr="009956C4" w:rsidRDefault="00F23087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3087" w:rsidRPr="006E58BA" w:rsidRDefault="00F23087" w:rsidP="007C2468">
            <w:pPr>
              <w:adjustRightInd w:val="0"/>
              <w:snapToGrid w:val="0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23087" w:rsidRPr="009956C4" w:rsidTr="007C246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6E58BA" w:rsidRDefault="00F23087" w:rsidP="007C2468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3087" w:rsidRPr="009956C4" w:rsidTr="007C246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087" w:rsidRPr="009956C4" w:rsidRDefault="00F23087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3087" w:rsidRPr="009956C4" w:rsidTr="007C2468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23087" w:rsidRPr="009956C4" w:rsidTr="007C246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087" w:rsidRPr="009956C4" w:rsidRDefault="00F23087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3087" w:rsidRPr="009956C4" w:rsidTr="007C246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3087" w:rsidRPr="009956C4" w:rsidTr="007C2468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23087" w:rsidRPr="009956C4" w:rsidRDefault="00F23087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3087" w:rsidRPr="009956C4" w:rsidTr="007C2468">
        <w:trPr>
          <w:trHeight w:val="28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087" w:rsidRPr="009956C4" w:rsidRDefault="00F23087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3087" w:rsidRPr="009956C4" w:rsidTr="007C246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3087" w:rsidRPr="009956C4" w:rsidTr="007C246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087" w:rsidRPr="009956C4" w:rsidRDefault="00F23087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087" w:rsidRPr="009956C4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3087" w:rsidRPr="00A244D6" w:rsidTr="007C246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087" w:rsidRDefault="00F23087" w:rsidP="007C246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F23087" w:rsidRPr="00A244D6" w:rsidRDefault="00F23087" w:rsidP="007C246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A244D6" w:rsidRDefault="00F23087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A244D6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A244D6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A244D6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A244D6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A244D6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A244D6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A244D6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3087" w:rsidRPr="00A244D6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A244D6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A244D6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087" w:rsidRPr="00A244D6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A244D6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087" w:rsidRPr="00A244D6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A244D6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087" w:rsidRPr="00A244D6" w:rsidRDefault="00F23087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3087" w:rsidRPr="00A244D6" w:rsidTr="007C246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23087" w:rsidRPr="00A244D6" w:rsidRDefault="00F23087" w:rsidP="007C2468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087" w:rsidRPr="00A244D6" w:rsidRDefault="00F23087" w:rsidP="007C246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A244D6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A244D6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A244D6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A244D6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087" w:rsidRPr="00A244D6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087" w:rsidRPr="00A244D6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A244D6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3087" w:rsidRPr="00A244D6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A244D6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A244D6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A244D6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087" w:rsidRPr="00A244D6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087" w:rsidRPr="00A244D6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087" w:rsidRPr="00A244D6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087" w:rsidRPr="00A244D6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3087" w:rsidRPr="00DF1D1E" w:rsidTr="007C2468">
        <w:trPr>
          <w:gridAfter w:val="1"/>
          <w:wAfter w:w="7" w:type="dxa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23087" w:rsidRPr="00DF1D1E" w:rsidRDefault="00F23087" w:rsidP="007C2468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23087" w:rsidRPr="00DF1D1E" w:rsidRDefault="00F23087" w:rsidP="007C2468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23087" w:rsidRPr="00DF1D1E" w:rsidRDefault="00F23087" w:rsidP="007C246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3087" w:rsidRPr="00DF1D1E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3087" w:rsidRPr="00DF1D1E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3087" w:rsidRPr="00DF1D1E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3087" w:rsidRPr="00DF1D1E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3087" w:rsidRPr="00DF1D1E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3087" w:rsidRPr="00DF1D1E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3087" w:rsidRPr="00DF1D1E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23087" w:rsidRPr="00DF1D1E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3087" w:rsidRPr="00DF1D1E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3087" w:rsidRPr="00DF1D1E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3087" w:rsidRPr="00DF1D1E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3087" w:rsidRPr="00DF1D1E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3087" w:rsidRPr="00DF1D1E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3087" w:rsidRPr="00DF1D1E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087" w:rsidRPr="00DF1D1E" w:rsidRDefault="00F23087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F23087" w:rsidRPr="00A244D6" w:rsidRDefault="00F23087" w:rsidP="00F23087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3D7211" w:rsidRDefault="00F23087" w:rsidP="00F23087"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sectPr w:rsidR="003D72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4081C"/>
    <w:multiLevelType w:val="multilevel"/>
    <w:tmpl w:val="C69AB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0" w15:restartNumberingAfterBreak="0">
    <w:nsid w:val="7F5A00D7"/>
    <w:multiLevelType w:val="hybridMultilevel"/>
    <w:tmpl w:val="F26E19F0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87"/>
    <w:rsid w:val="003D7211"/>
    <w:rsid w:val="00F23087"/>
    <w:rsid w:val="00F9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ABD4"/>
  <w15:chartTrackingRefBased/>
  <w15:docId w15:val="{3E0B88DA-8541-4A40-A385-E77AC60F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087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23087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F23087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F23087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F23087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F23087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F23087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F23087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F23087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F23087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3087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F23087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F23087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F23087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F23087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2308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F23087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F23087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F23087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F23087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F23087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F23087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F2308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F230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308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230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08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F23087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F23087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F23087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F23087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Normal2">
    <w:name w:val="Normal 2"/>
    <w:basedOn w:val="Normal"/>
    <w:rsid w:val="00F23087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F23087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F23087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F23087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F23087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F23087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F23087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2308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F2308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23087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F23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F23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F2308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23087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23087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F23087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F23087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F2308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F23087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F2308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F23087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F23087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F23087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F23087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F23087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F23087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F23087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F2308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F23087"/>
    <w:rPr>
      <w:vertAlign w:val="superscript"/>
    </w:rPr>
  </w:style>
  <w:style w:type="paragraph" w:customStyle="1" w:styleId="BodyText21">
    <w:name w:val="Body Text 21"/>
    <w:basedOn w:val="Normal"/>
    <w:rsid w:val="00F23087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F23087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F23087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F23087"/>
  </w:style>
  <w:style w:type="paragraph" w:customStyle="1" w:styleId="Document1">
    <w:name w:val="Document 1"/>
    <w:rsid w:val="00F23087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F23087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2308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F23087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23087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F23087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F23087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F23087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F23087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F23087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F23087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F23087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F23087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F2308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F23087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F23087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F23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F23087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F23087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F23087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F23087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F23087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F23087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F2308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F2308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F23087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F23087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F23087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F2308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230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230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F2308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F230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F230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230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pull-left">
    <w:name w:val="pull-left"/>
    <w:basedOn w:val="Fuentedeprrafopredeter"/>
    <w:rsid w:val="00F23087"/>
  </w:style>
  <w:style w:type="character" w:customStyle="1" w:styleId="markedcontent">
    <w:name w:val="markedcontent"/>
    <w:basedOn w:val="Fuentedeprrafopredeter"/>
    <w:rsid w:val="00F23087"/>
  </w:style>
  <w:style w:type="character" w:styleId="nfasissutil">
    <w:name w:val="Subtle Emphasis"/>
    <w:uiPriority w:val="19"/>
    <w:qFormat/>
    <w:rsid w:val="00F23087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F23087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sr-only">
    <w:name w:val="sr-only"/>
    <w:basedOn w:val="Fuentedeprrafopredeter"/>
    <w:rsid w:val="00F23087"/>
  </w:style>
  <w:style w:type="paragraph" w:customStyle="1" w:styleId="pdt-xs">
    <w:name w:val="pdt-xs"/>
    <w:basedOn w:val="Normal"/>
    <w:rsid w:val="00F2308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character" w:customStyle="1" w:styleId="mgl-sm">
    <w:name w:val="mgl-sm"/>
    <w:basedOn w:val="Fuentedeprrafopredeter"/>
    <w:rsid w:val="00F23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6869066e7fe52f40e6a714873ba066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bolivia.webex.com/bcbbolivia/onstage/g.php?MTID=e134250095b710e766bb3dc0329983d5f" TargetMode="External"/><Relationship Id="rId5" Type="http://schemas.openxmlformats.org/officeDocument/2006/relationships/hyperlink" Target="mailto:lcortez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1331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Cortez Linares Liliam</dc:creator>
  <cp:keywords/>
  <dc:description/>
  <cp:lastModifiedBy>Cortez Linares Liliam</cp:lastModifiedBy>
  <cp:revision>2</cp:revision>
  <dcterms:created xsi:type="dcterms:W3CDTF">2025-05-26T22:36:00Z</dcterms:created>
  <dcterms:modified xsi:type="dcterms:W3CDTF">2025-05-26T22:36:00Z</dcterms:modified>
</cp:coreProperties>
</file>