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3B" w:rsidRDefault="00E8083B" w:rsidP="00E8083B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GoBack"/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8083B" w:rsidRPr="009956C4" w:rsidTr="00DD01A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8083B" w:rsidRPr="009956C4" w:rsidRDefault="00E8083B" w:rsidP="00E8083B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8083B" w:rsidRPr="0054356D" w:rsidTr="00DD01A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Pr="0054356D" w:rsidRDefault="00E8083B" w:rsidP="00DD01A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8083B" w:rsidRPr="009956C4" w:rsidTr="00DD01A4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8083B" w:rsidRPr="0054356D" w:rsidTr="00DD01A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A93AB0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8083B" w:rsidRPr="009956C4" w:rsidTr="00DD01A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ANPE – C Nº 102</w:t>
            </w:r>
            <w:r w:rsidRPr="00517B2B">
              <w:rPr>
                <w:rFonts w:ascii="Arial" w:hAnsi="Arial" w:cs="Arial"/>
                <w:sz w:val="14"/>
                <w:lang w:val="es-BO"/>
              </w:rPr>
              <w:t>/202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517B2B">
              <w:rPr>
                <w:rFonts w:ascii="Arial" w:hAnsi="Arial" w:cs="Arial"/>
                <w:sz w:val="14"/>
                <w:lang w:val="es-BO"/>
              </w:rPr>
              <w:t>– 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8083B" w:rsidRPr="00A93AB0" w:rsidTr="00DD01A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A93AB0" w:rsidRDefault="00E8083B" w:rsidP="00DD01A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8083B" w:rsidRPr="00A93AB0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E8083B" w:rsidRPr="00A93AB0" w:rsidTr="00DD01A4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8083B" w:rsidRPr="00A93AB0" w:rsidRDefault="00E8083B" w:rsidP="00DD01A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A93AB0" w:rsidRDefault="00E8083B" w:rsidP="00DD01A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45"/>
        <w:gridCol w:w="281"/>
        <w:gridCol w:w="282"/>
        <w:gridCol w:w="274"/>
        <w:gridCol w:w="277"/>
        <w:gridCol w:w="276"/>
        <w:gridCol w:w="275"/>
        <w:gridCol w:w="8"/>
        <w:gridCol w:w="302"/>
        <w:gridCol w:w="10"/>
        <w:gridCol w:w="276"/>
        <w:gridCol w:w="276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65"/>
      </w:tblGrid>
      <w:tr w:rsidR="00E8083B" w:rsidRPr="002662F5" w:rsidTr="00DD01A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8083B" w:rsidRPr="00A93AB0" w:rsidTr="00DD01A4">
        <w:trPr>
          <w:trHeight w:val="198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A93AB0" w:rsidRDefault="00E8083B" w:rsidP="00DD01A4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93AB0" w:rsidRDefault="00E8083B" w:rsidP="00DD01A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6B1BD7">
              <w:rPr>
                <w:rFonts w:ascii="Arial" w:hAnsi="Arial" w:cs="Arial"/>
                <w:b/>
                <w:lang w:val="es-BO"/>
              </w:rPr>
              <w:t>PROVISIÓN E INSTALACIÓN DE ESTRUCTURAS METALICAS ACABADAS PARA ALMACENAMIENTO DE MATERIAL MONETARIO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A93AB0" w:rsidRDefault="00E8083B" w:rsidP="00DD01A4">
            <w:pPr>
              <w:rPr>
                <w:rFonts w:ascii="Arial" w:hAnsi="Arial" w:cs="Arial"/>
                <w:lang w:val="es-BO"/>
              </w:rPr>
            </w:pPr>
          </w:p>
        </w:tc>
      </w:tr>
      <w:tr w:rsidR="00E8083B" w:rsidRPr="0054356D" w:rsidTr="00DD01A4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54356D" w:rsidRDefault="00E8083B" w:rsidP="00DD01A4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8083B" w:rsidRPr="0054356D" w:rsidRDefault="00E8083B" w:rsidP="00DD01A4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E8083B" w:rsidRPr="009956C4" w:rsidTr="00DD01A4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507C36" w:rsidRDefault="00E8083B" w:rsidP="00DD01A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E8083B" w:rsidRPr="00507C36" w:rsidRDefault="00E8083B" w:rsidP="00DD01A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8083B" w:rsidRPr="009956C4" w:rsidTr="00DD01A4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8083B" w:rsidRPr="009956C4" w:rsidTr="00DD01A4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8083B" w:rsidRPr="002662F5" w:rsidTr="00DD01A4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8083B" w:rsidRPr="009956C4" w:rsidTr="00DD01A4">
        <w:trPr>
          <w:trHeight w:val="28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507C36" w:rsidRDefault="00E8083B" w:rsidP="00DD01A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83B" w:rsidRPr="00507C36" w:rsidRDefault="00E8083B" w:rsidP="00DD01A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54356D" w:rsidTr="00DD01A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54356D" w:rsidRDefault="00E8083B" w:rsidP="00DD01A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8083B" w:rsidRPr="0054356D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W w:w="81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413"/>
              <w:gridCol w:w="1276"/>
              <w:gridCol w:w="992"/>
              <w:gridCol w:w="1559"/>
              <w:gridCol w:w="1289"/>
            </w:tblGrid>
            <w:tr w:rsidR="00E8083B" w:rsidRPr="0090101A" w:rsidTr="00DD01A4">
              <w:trPr>
                <w:trHeight w:val="319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Ítem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PRECIO UNITARIO</w:t>
                  </w:r>
                </w:p>
                <w:p w:rsidR="00E8083B" w:rsidRPr="00C102C2" w:rsidRDefault="00E8083B" w:rsidP="00DD01A4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Bs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PRECIO TOTAL</w:t>
                  </w:r>
                </w:p>
                <w:p w:rsidR="00E8083B" w:rsidRPr="00C102C2" w:rsidRDefault="00E8083B" w:rsidP="00DD01A4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 xml:space="preserve"> Bs</w:t>
                  </w:r>
                </w:p>
              </w:tc>
            </w:tr>
            <w:tr w:rsidR="00E8083B" w:rsidRPr="0090101A" w:rsidTr="00DD01A4">
              <w:trPr>
                <w:trHeight w:val="278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8083B" w:rsidRPr="00C102C2" w:rsidRDefault="00E8083B" w:rsidP="00DD01A4">
                  <w:r w:rsidRPr="00C102C2">
                    <w:t>MODULO METÁLICO PARA ALMACENAMIENTO DE MONEDAS TIPO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59.500,00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83B" w:rsidRPr="0090101A" w:rsidRDefault="00E8083B" w:rsidP="00DD01A4">
                  <w:pPr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cs="Arial"/>
                      <w:color w:val="000000"/>
                    </w:rPr>
                    <w:t>59.500,00</w:t>
                  </w:r>
                </w:p>
              </w:tc>
            </w:tr>
            <w:tr w:rsidR="00E8083B" w:rsidRPr="0090101A" w:rsidTr="00DD01A4">
              <w:trPr>
                <w:trHeight w:val="278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083B" w:rsidRPr="00C102C2" w:rsidRDefault="00E8083B" w:rsidP="00DD01A4">
                  <w:r w:rsidRPr="00C102C2">
                    <w:t>MODULO METÁLICO PARA ALMACENAMIENTO DE MONEDAS TIPO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83B" w:rsidRPr="00C102C2" w:rsidRDefault="00E8083B" w:rsidP="00DD01A4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25.500,00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83B" w:rsidRPr="0090101A" w:rsidRDefault="00E8083B" w:rsidP="00DD01A4">
                  <w:pPr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cs="Arial"/>
                      <w:color w:val="000000"/>
                    </w:rPr>
                    <w:t>25.500,00</w:t>
                  </w:r>
                </w:p>
              </w:tc>
            </w:tr>
            <w:tr w:rsidR="00E8083B" w:rsidRPr="0090101A" w:rsidTr="00DD01A4">
              <w:trPr>
                <w:trHeight w:val="278"/>
                <w:jc w:val="center"/>
              </w:trPr>
              <w:tc>
                <w:tcPr>
                  <w:tcW w:w="68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083B" w:rsidRPr="00C102C2" w:rsidRDefault="00E8083B" w:rsidP="00DD01A4">
                  <w:pPr>
                    <w:jc w:val="right"/>
                    <w:rPr>
                      <w:rFonts w:cs="Arial"/>
                      <w:b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83B" w:rsidRDefault="00E8083B" w:rsidP="00DD01A4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85.000,00</w:t>
                  </w:r>
                </w:p>
              </w:tc>
            </w:tr>
          </w:tbl>
          <w:p w:rsidR="00E8083B" w:rsidRPr="009956C4" w:rsidRDefault="00E8083B" w:rsidP="00DD01A4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trHeight w:val="169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2662F5" w:rsidTr="00DD01A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8083B" w:rsidRPr="009956C4" w:rsidTr="00DD01A4">
        <w:trPr>
          <w:trHeight w:val="39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507C36" w:rsidRDefault="00E8083B" w:rsidP="00DD01A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E8083B" w:rsidRPr="00507C36" w:rsidRDefault="00E8083B" w:rsidP="00DD01A4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8083B" w:rsidRPr="002662F5" w:rsidTr="00DD01A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DC772E" w:rsidRDefault="00E8083B" w:rsidP="00DD01A4">
            <w:pPr>
              <w:rPr>
                <w:rFonts w:ascii="Arial" w:hAnsi="Arial" w:cs="Arial"/>
                <w:bCs/>
                <w:iCs/>
                <w:szCs w:val="18"/>
              </w:rPr>
            </w:pPr>
            <w:r w:rsidRPr="00C102C2">
              <w:rPr>
                <w:rFonts w:ascii="Arial" w:hAnsi="Arial" w:cs="Arial"/>
                <w:bCs/>
                <w:iCs/>
                <w:sz w:val="14"/>
                <w:szCs w:val="18"/>
              </w:rPr>
              <w:t>El plazo para la provisión e instalación será de quince (15) días calendario, computable a partir de la emisión de la orden de proceder emitida por el Responsable de Recepción.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trHeight w:val="77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2662F5" w:rsidTr="00DD01A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E8083B" w:rsidRPr="00507C36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”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trHeight w:val="255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2662F5" w:rsidTr="00DD01A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8083B" w:rsidRPr="009956C4" w:rsidTr="00DD01A4">
        <w:trPr>
          <w:trHeight w:val="207"/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507C36" w:rsidRDefault="00E8083B" w:rsidP="00DD01A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8083B" w:rsidRPr="00507C36" w:rsidRDefault="00E8083B" w:rsidP="00DD01A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trHeight w:val="197"/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E8083B" w:rsidRPr="009956C4" w:rsidTr="00DD01A4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E8083B" w:rsidRPr="009956C4" w:rsidRDefault="00E8083B" w:rsidP="00DD01A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517B2B" w:rsidRDefault="00E8083B" w:rsidP="00DD01A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8083B" w:rsidRPr="009956C4" w:rsidTr="00DD01A4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8083B" w:rsidRPr="009956C4" w:rsidRDefault="00E8083B" w:rsidP="00E8083B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8083B" w:rsidRPr="009956C4" w:rsidTr="00DD01A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083B" w:rsidRPr="009956C4" w:rsidTr="00DD01A4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083B" w:rsidRPr="009956C4" w:rsidTr="00DD01A4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8083B" w:rsidRPr="009956C4" w:rsidTr="00DD01A4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Tecnico</w:t>
            </w:r>
            <w:r w:rsidRPr="005065DA">
              <w:rPr>
                <w:rFonts w:ascii="Arial" w:hAnsi="Arial" w:cs="Arial"/>
                <w:lang w:val="es-BO" w:eastAsia="es-BO"/>
              </w:rPr>
              <w:t xml:space="preserve">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</w:p>
        </w:tc>
      </w:tr>
      <w:tr w:rsidR="00E8083B" w:rsidRPr="009956C4" w:rsidTr="00DD01A4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Jaime Garcia Tenorio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Mantenimiento e</w:t>
            </w:r>
            <w:r w:rsidRPr="003524B2">
              <w:rPr>
                <w:rFonts w:ascii="Arial" w:hAnsi="Arial" w:cs="Arial"/>
                <w:lang w:val="es-BO" w:eastAsia="es-BO"/>
              </w:rPr>
              <w:t xml:space="preserve"> Infraestructura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jc w:val="center"/>
              <w:rPr>
                <w:rFonts w:ascii="Arial" w:hAnsi="Arial" w:cs="Arial"/>
                <w:lang w:val="es-BO"/>
              </w:rPr>
            </w:pPr>
            <w:r w:rsidRPr="003524B2">
              <w:rPr>
                <w:rFonts w:ascii="Arial" w:hAnsi="Arial" w:cs="Arial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</w:p>
        </w:tc>
      </w:tr>
      <w:tr w:rsidR="00E8083B" w:rsidRPr="002662F5" w:rsidTr="00DD01A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Pr="002662F5" w:rsidRDefault="00E8083B" w:rsidP="00DD01A4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2662F5" w:rsidRDefault="00E8083B" w:rsidP="00DD01A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8083B" w:rsidRPr="009956C4" w:rsidTr="00DD01A4">
        <w:trPr>
          <w:trHeight w:val="529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083B" w:rsidRPr="009956C4" w:rsidRDefault="00E8083B" w:rsidP="00DD01A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5065DA" w:rsidRDefault="00E8083B" w:rsidP="00DD01A4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:rsidR="00E8083B" w:rsidRPr="005065DA" w:rsidRDefault="00E8083B" w:rsidP="00DD01A4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29</w:t>
            </w:r>
            <w:r w:rsidRPr="005065D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4741</w:t>
            </w:r>
            <w:r w:rsidRPr="005065D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E8083B" w:rsidRDefault="00E8083B" w:rsidP="00DD01A4">
            <w:pPr>
              <w:rPr>
                <w:rFonts w:ascii="Arial" w:hAnsi="Arial" w:cs="Arial"/>
                <w:lang w:val="es-BO"/>
              </w:rPr>
            </w:pPr>
            <w:hyperlink r:id="rId7" w:history="1">
              <w:r w:rsidRPr="00A20F4C">
                <w:rPr>
                  <w:rStyle w:val="Hipervnculo"/>
                  <w:rFonts w:ascii="Arial" w:hAnsi="Arial" w:cs="Arial"/>
                  <w:lang w:val="es-BO"/>
                </w:rPr>
                <w:t>jcvargas@bcb.gob.bo</w:t>
              </w:r>
            </w:hyperlink>
          </w:p>
          <w:p w:rsidR="00E8083B" w:rsidRPr="005065DA" w:rsidRDefault="00E8083B" w:rsidP="00DD01A4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 xml:space="preserve"> (Consultas Administrativas)</w:t>
            </w:r>
          </w:p>
          <w:p w:rsidR="00E8083B" w:rsidRDefault="00E8083B" w:rsidP="00DD01A4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A20F4C">
                <w:rPr>
                  <w:rStyle w:val="Hipervnculo"/>
                  <w:rFonts w:ascii="Arial" w:hAnsi="Arial" w:cs="Arial"/>
                  <w:lang w:val="es-BO"/>
                </w:rPr>
                <w:t>jtgarcia@bcb.gob.bo</w:t>
              </w:r>
            </w:hyperlink>
          </w:p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8083B" w:rsidRPr="009956C4" w:rsidRDefault="00E8083B" w:rsidP="00DD01A4">
            <w:pPr>
              <w:rPr>
                <w:rFonts w:ascii="Arial" w:hAnsi="Arial" w:cs="Arial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083B" w:rsidRDefault="00E8083B" w:rsidP="00DD01A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:rsidR="00E8083B" w:rsidRDefault="00E8083B" w:rsidP="00DD01A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:rsidR="00E8083B" w:rsidRDefault="00E8083B" w:rsidP="00DD01A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:rsidR="00E8083B" w:rsidRPr="009956C4" w:rsidRDefault="00E8083B" w:rsidP="00DD01A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083B" w:rsidRPr="009956C4" w:rsidTr="00DD01A4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402294" w:rsidRDefault="00E8083B" w:rsidP="00DD01A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083B" w:rsidRPr="009956C4" w:rsidTr="00DD01A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E8083B" w:rsidRPr="009956C4" w:rsidRDefault="00E8083B" w:rsidP="00DD01A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083B" w:rsidRPr="009956C4" w:rsidTr="00DD01A4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8083B" w:rsidRPr="009956C4" w:rsidRDefault="00E8083B" w:rsidP="00DD01A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E8083B" w:rsidRPr="009956C4" w:rsidRDefault="00E8083B" w:rsidP="00E8083B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E8083B" w:rsidRPr="00DF1D1E" w:rsidRDefault="00E8083B" w:rsidP="00E8083B">
      <w:pPr>
        <w:rPr>
          <w:sz w:val="12"/>
          <w:lang w:val="es-BO"/>
        </w:rPr>
      </w:pPr>
    </w:p>
    <w:p w:rsidR="00E8083B" w:rsidRPr="009956C4" w:rsidRDefault="00E8083B" w:rsidP="00E8083B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lastRenderedPageBreak/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8083B" w:rsidRPr="00DF1D1E" w:rsidRDefault="00E8083B" w:rsidP="00E8083B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E8083B" w:rsidRPr="009956C4" w:rsidTr="00E8083B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8083B" w:rsidRPr="009956C4" w:rsidTr="00E8083B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E520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E7F5A" w:rsidRDefault="00E8083B" w:rsidP="00DD01A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E8083B" w:rsidRPr="009E7F5A" w:rsidRDefault="00E8083B" w:rsidP="00E8083B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E8083B" w:rsidRPr="002662F5" w:rsidRDefault="00E8083B" w:rsidP="00DD01A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083B" w:rsidRPr="009956C4" w:rsidTr="00E8083B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2662F5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2662F5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FD7E8D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FD7E8D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752BD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752BD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752BD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752BD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752BD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2BD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752BD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E520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2662F5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FD7E8D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FD7E8D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FD7E8D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FD7E8D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083B" w:rsidRPr="009956C4" w:rsidTr="00E8083B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CC4BFE" w:rsidRDefault="00E8083B" w:rsidP="00DD01A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CC4BFE" w:rsidRDefault="00E8083B" w:rsidP="00DD01A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EE5208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FD7E8D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FD7E8D" w:rsidRDefault="00E8083B" w:rsidP="00DD01A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E8083B" w:rsidRPr="008F7B98" w:rsidRDefault="00E8083B" w:rsidP="00DD01A4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8F7B98">
              <w:rPr>
                <w:rStyle w:val="Hipervnculo"/>
                <w:rFonts w:ascii="Helvetica" w:hAnsi="Helvetica" w:cs="Helvetica"/>
                <w:sz w:val="14"/>
                <w:szCs w:val="14"/>
              </w:rPr>
              <w:t>https://bcb-gob-bo.zoom.us/j/87322643520?pwd=a053RFJid0VWVi9uUjc1YVRVY2ZnQT09</w:t>
            </w:r>
          </w:p>
          <w:p w:rsidR="00E8083B" w:rsidRPr="008F7B98" w:rsidRDefault="00E8083B" w:rsidP="00DD01A4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</w:p>
          <w:p w:rsidR="00E8083B" w:rsidRPr="008F7B98" w:rsidRDefault="00E8083B" w:rsidP="00DD01A4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8F7B98">
              <w:rPr>
                <w:rStyle w:val="Hipervnculo"/>
                <w:rFonts w:ascii="Helvetica" w:hAnsi="Helvetica" w:cs="Helvetica"/>
                <w:sz w:val="14"/>
                <w:szCs w:val="14"/>
              </w:rPr>
              <w:t>ID de reunión: 873 2264 3520</w:t>
            </w:r>
          </w:p>
          <w:p w:rsidR="00E8083B" w:rsidRPr="00623877" w:rsidRDefault="00E8083B" w:rsidP="00DD01A4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8F7B98">
              <w:rPr>
                <w:rStyle w:val="Hipervnculo"/>
                <w:rFonts w:ascii="Helvetica" w:hAnsi="Helvetica" w:cs="Helvetica"/>
                <w:sz w:val="14"/>
                <w:szCs w:val="14"/>
              </w:rPr>
              <w:t>Código de acceso: 157076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083B" w:rsidRPr="009956C4" w:rsidTr="00E8083B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9956C4" w:rsidTr="00E8083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9956C4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9956C4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A244D6" w:rsidTr="00E8083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083B" w:rsidRPr="00A244D6" w:rsidTr="00E8083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8083B" w:rsidRPr="00A244D6" w:rsidRDefault="00E8083B" w:rsidP="00DD01A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083B" w:rsidRPr="00A244D6" w:rsidRDefault="00E8083B" w:rsidP="00DD01A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A244D6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083B" w:rsidRPr="00DF1D1E" w:rsidTr="00E8083B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8083B" w:rsidRPr="00DF1D1E" w:rsidRDefault="00E8083B" w:rsidP="00DD01A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8083B" w:rsidRPr="00DF1D1E" w:rsidRDefault="00E8083B" w:rsidP="00DD01A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083B" w:rsidRPr="00DF1D1E" w:rsidRDefault="00E8083B" w:rsidP="00DD01A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8083B" w:rsidRPr="00DF1D1E" w:rsidRDefault="00E8083B" w:rsidP="00DD01A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E8083B" w:rsidRPr="00A244D6" w:rsidRDefault="00E8083B" w:rsidP="00E8083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8083B" w:rsidRPr="0077744B" w:rsidRDefault="00E8083B" w:rsidP="00E8083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966899" w:rsidRPr="00E8083B" w:rsidRDefault="004616A9" w:rsidP="00E8083B"/>
    <w:sectPr w:rsidR="00966899" w:rsidRPr="00E8083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A9" w:rsidRDefault="004616A9" w:rsidP="009148CD">
      <w:r>
        <w:separator/>
      </w:r>
    </w:p>
  </w:endnote>
  <w:endnote w:type="continuationSeparator" w:id="0">
    <w:p w:rsidR="004616A9" w:rsidRDefault="004616A9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A9" w:rsidRDefault="004616A9" w:rsidP="009148CD">
      <w:r>
        <w:separator/>
      </w:r>
    </w:p>
  </w:footnote>
  <w:footnote w:type="continuationSeparator" w:id="0">
    <w:p w:rsidR="004616A9" w:rsidRDefault="004616A9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8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9148CD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>
                <v:imagedata r:id="rId1" o:title="" gain="45875f" blacklevel="13107f" grayscale="t"/>
              </v:shape>
              <o:OLEObject Type="Embed" ProgID="MSPhotoEd.3" ShapeID="_x0000_i1025" DrawAspect="Content" ObjectID="_1776613635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4616A9"/>
    <w:rsid w:val="009148CD"/>
    <w:rsid w:val="00D56ACC"/>
    <w:rsid w:val="00E4359A"/>
    <w:rsid w:val="00E8083B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83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2024-05-07T23:01:00Z</dcterms:created>
  <dcterms:modified xsi:type="dcterms:W3CDTF">2024-05-07T23:01:00Z</dcterms:modified>
</cp:coreProperties>
</file>