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54" w:rsidRDefault="008E0054" w:rsidP="008E0054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8E0054" w:rsidRPr="00023739" w:rsidRDefault="008E0054" w:rsidP="008E0054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E0054" w:rsidRPr="00F75995" w:rsidTr="00914FD0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E0054" w:rsidRPr="00F75995" w:rsidRDefault="008E0054" w:rsidP="008E0054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E0054" w:rsidRPr="00F75995" w:rsidTr="00914FD0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194/2024-1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54" w:rsidRPr="00F75995" w:rsidRDefault="008E0054" w:rsidP="00914FD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54" w:rsidRPr="00F75995" w:rsidRDefault="008E0054" w:rsidP="00914FD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54" w:rsidRPr="00F75995" w:rsidRDefault="008E0054" w:rsidP="00914FD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394062" w:rsidRDefault="008E0054" w:rsidP="00914FD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E01D3A">
              <w:rPr>
                <w:rFonts w:ascii="Arial" w:hAnsi="Arial" w:cs="Arial"/>
                <w:b/>
                <w:bCs/>
              </w:rPr>
              <w:t>SERVICIO RECURRENTE DE PROTECCIÓN PARA LA NAVEGACIÓN POR INTERNET WEB FILTER - GESTION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424887" w:rsidRDefault="008E0054" w:rsidP="00914F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8E0054" w:rsidRPr="00424887" w:rsidRDefault="008E0054" w:rsidP="00914FD0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E0054" w:rsidRPr="00F75995" w:rsidTr="00914FD0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E0054" w:rsidRPr="00F75995" w:rsidTr="00914FD0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E0054" w:rsidRPr="00F75995" w:rsidTr="00914FD0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E0054" w:rsidRPr="00F75995" w:rsidTr="00914FD0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B862A0" w:rsidP="00914FD0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Bs228.776,29 (Doscientos Veintiocho Mil Setecientos Setenta y Seis 29/100 Bolivianos)</w:t>
            </w:r>
            <w:bookmarkStart w:id="0" w:name="_GoBack"/>
            <w:bookmarkEnd w:id="0"/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054" w:rsidRPr="00F75995" w:rsidRDefault="008E0054" w:rsidP="00914F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E0054" w:rsidRPr="00F75995" w:rsidRDefault="008E0054" w:rsidP="00914FD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E0054" w:rsidRPr="00F75995" w:rsidTr="00914FD0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2F238F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303ECA" w:rsidRDefault="008E0054" w:rsidP="00914FD0">
            <w:pPr>
              <w:widowControl w:val="0"/>
              <w:jc w:val="both"/>
              <w:rPr>
                <w:rFonts w:cs="Arial"/>
              </w:rPr>
            </w:pPr>
            <w:r w:rsidRPr="00C87567">
              <w:rPr>
                <w:rFonts w:ascii="Arial" w:hAnsi="Arial" w:cs="Arial"/>
              </w:rPr>
              <w:t>8 meses calendario computable a partir del</w:t>
            </w:r>
            <w:r w:rsidRPr="00C87567">
              <w:rPr>
                <w:rFonts w:ascii="Arial" w:hAnsi="Arial" w:cs="Arial"/>
                <w:bCs/>
              </w:rPr>
              <w:t xml:space="preserve"> 1 de enero 2025 al 31 de agosto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2F238F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054" w:rsidRPr="002F238F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E0054" w:rsidRPr="002F238F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2F238F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C87567" w:rsidRDefault="008E0054" w:rsidP="00914FD0">
            <w:pPr>
              <w:jc w:val="both"/>
              <w:rPr>
                <w:rFonts w:ascii="Arial" w:hAnsi="Arial" w:cs="Arial"/>
                <w:b/>
                <w:bCs/>
              </w:rPr>
            </w:pPr>
            <w:r w:rsidRPr="00C87567">
              <w:rPr>
                <w:rFonts w:ascii="Arial" w:hAnsi="Arial" w:cs="Arial"/>
                <w:bCs/>
              </w:rPr>
              <w:t>El servicio se realizará en la ciudad de La Paz, en el Edificio Principal del Banco  Central de Bolivia, ubicado en la calle Ayacucho y Mercado de la ciudad de La Paz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1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DA546B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DA546B">
              <w:rPr>
                <w:rFonts w:ascii="Arial" w:hAnsi="Arial" w:cs="Arial"/>
                <w:lang w:val="es-BO"/>
              </w:rPr>
              <w:t>Garantía de Seriedad de</w:t>
            </w:r>
          </w:p>
          <w:p w:rsidR="008E0054" w:rsidRPr="002F238F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DA546B">
              <w:rPr>
                <w:rFonts w:ascii="Arial" w:hAnsi="Arial" w:cs="Arial"/>
                <w:lang w:val="es-BO"/>
              </w:rPr>
              <w:t>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C87567" w:rsidRDefault="008E0054" w:rsidP="00914FD0">
            <w:pPr>
              <w:jc w:val="both"/>
              <w:rPr>
                <w:rFonts w:ascii="Arial" w:hAnsi="Arial" w:cs="Arial"/>
                <w:bCs/>
              </w:rPr>
            </w:pPr>
            <w:r w:rsidRPr="00DA546B">
              <w:rPr>
                <w:rFonts w:ascii="Arial" w:hAnsi="Arial" w:cs="Arial"/>
                <w:bCs/>
              </w:rPr>
              <w:t>El proponente deberá presentar una Garantía equivalente al 1% del Precio Referencial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2F238F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E0054" w:rsidRPr="002F238F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D82488" w:rsidRDefault="008E0054" w:rsidP="00914FD0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82488">
              <w:rPr>
                <w:rFonts w:ascii="Arial" w:hAnsi="Arial" w:cs="Arial"/>
                <w:bCs/>
                <w:sz w:val="15"/>
                <w:szCs w:val="15"/>
                <w:lang w:val="es-ES_tradnl"/>
              </w:rPr>
              <w:t>Garantía de cumplimiento de contrato:</w:t>
            </w:r>
            <w:r w:rsidRPr="00D82488">
              <w:rPr>
                <w:rFonts w:ascii="Arial" w:hAnsi="Arial" w:cs="Arial"/>
                <w:sz w:val="15"/>
                <w:szCs w:val="15"/>
                <w:lang w:val="es-ES_tradnl"/>
              </w:rPr>
              <w:t xml:space="preserve"> </w:t>
            </w:r>
            <w:r w:rsidRPr="00D82488">
              <w:rPr>
                <w:rFonts w:ascii="Arial" w:hAnsi="Arial" w:cs="Arial"/>
                <w:bCs/>
                <w:sz w:val="15"/>
                <w:szCs w:val="15"/>
              </w:rPr>
              <w:t>Para garantizar el cumplimiento del contrato, el proponente adjudicado deberá presentar una garantía del siete por ciento (7%) del valor total del contrato. De acuerdo con el Articulo 20  del D.S. N° 181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F75995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F75995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F75995" w:rsidTr="00914F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54" w:rsidRPr="00F75995" w:rsidTr="00914FD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F75995" w:rsidRDefault="008E0054" w:rsidP="00914F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E0054" w:rsidRPr="000E268F" w:rsidRDefault="008E0054" w:rsidP="008E005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E0054" w:rsidRPr="00A40276" w:rsidTr="00914FD0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E0054" w:rsidRPr="00A40276" w:rsidRDefault="008E0054" w:rsidP="00914FD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D3A48" w:rsidRDefault="008E0054" w:rsidP="00914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E0054" w:rsidRPr="00A40276" w:rsidRDefault="008E0054" w:rsidP="00914FD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E0054" w:rsidRPr="00A40276" w:rsidRDefault="008E0054" w:rsidP="00914FD0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</w:rPr>
            </w:pPr>
          </w:p>
        </w:tc>
      </w:tr>
      <w:tr w:rsidR="008E0054" w:rsidRPr="00A40276" w:rsidTr="00914FD0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A40276" w:rsidRDefault="008E0054" w:rsidP="00914FD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E0054" w:rsidRPr="00A40276" w:rsidRDefault="008E0054" w:rsidP="00914F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0054" w:rsidRPr="00A40276" w:rsidTr="00914FD0">
        <w:trPr>
          <w:trHeight w:val="5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E0054" w:rsidRPr="00A40276" w:rsidRDefault="008E0054" w:rsidP="00914F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054" w:rsidRPr="00A40276" w:rsidRDefault="008E0054" w:rsidP="00914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054" w:rsidRPr="00A40276" w:rsidRDefault="008E0054" w:rsidP="00914FD0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</w:rPr>
            </w:pPr>
          </w:p>
        </w:tc>
      </w:tr>
      <w:tr w:rsidR="008E0054" w:rsidRPr="00A40276" w:rsidTr="00914FD0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103827" w:rsidRDefault="008E0054" w:rsidP="00914F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E0054" w:rsidRPr="00A40276" w:rsidTr="00914FD0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A40276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E0054" w:rsidRPr="00A40276" w:rsidRDefault="008E0054" w:rsidP="00914F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A40276" w:rsidTr="00914FD0">
        <w:trPr>
          <w:trHeight w:val="116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A40276" w:rsidRDefault="008E0054" w:rsidP="00914FD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E0054" w:rsidRPr="00A40276" w:rsidRDefault="008E0054" w:rsidP="00914FD0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54" w:rsidRPr="002F238F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A40276" w:rsidTr="00914FD0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A40276" w:rsidRDefault="008E0054" w:rsidP="00914FD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8E0054" w:rsidRPr="00A40276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054" w:rsidRPr="00A40276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E0054" w:rsidRPr="00A40276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E0054" w:rsidRPr="00545778" w:rsidTr="00914FD0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8E0054" w:rsidRPr="00545778" w:rsidRDefault="008E0054" w:rsidP="008E005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E0054" w:rsidRPr="00A40276" w:rsidTr="00914FD0">
        <w:trPr>
          <w:trHeight w:val="171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8E0054" w:rsidRPr="00765F1B" w:rsidRDefault="008E0054" w:rsidP="00914FD0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E0054" w:rsidRPr="004C52AB" w:rsidRDefault="008E0054" w:rsidP="008E0054">
            <w:pPr>
              <w:pStyle w:val="Prrafodelista"/>
              <w:numPr>
                <w:ilvl w:val="0"/>
                <w:numId w:val="6"/>
              </w:numPr>
              <w:ind w:left="303" w:hanging="383"/>
              <w:contextualSpacing/>
              <w:rPr>
                <w:rFonts w:ascii="Arial" w:hAnsi="Arial" w:cs="Arial"/>
                <w:b/>
                <w:sz w:val="14"/>
                <w:lang w:val="es-BO"/>
              </w:rPr>
            </w:pPr>
            <w:r w:rsidRPr="004C52AB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4C52AB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:rsidR="008E0054" w:rsidRPr="00A40276" w:rsidRDefault="008E0054" w:rsidP="00914FD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C52AB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E0054" w:rsidRPr="00545778" w:rsidTr="00914FD0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545778" w:rsidRDefault="008E0054" w:rsidP="00914FD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E0054" w:rsidRPr="00A40276" w:rsidTr="00914FD0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054" w:rsidRPr="002F238F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054" w:rsidRPr="002F238F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755988">
              <w:rPr>
                <w:rFonts w:ascii="Arial" w:hAnsi="Arial" w:cs="Arial"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545778" w:rsidTr="00914FD0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545778" w:rsidRDefault="008E0054" w:rsidP="00914FD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E0054" w:rsidRPr="00A40276" w:rsidTr="00914FD0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8E0054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E0054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8E0054" w:rsidRPr="00545778" w:rsidRDefault="008E0054" w:rsidP="00914FD0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8E0054" w:rsidRPr="00A40276" w:rsidRDefault="008E0054" w:rsidP="00914FD0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8E0054" w:rsidRPr="00A40276" w:rsidRDefault="008E0054" w:rsidP="00914F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E0054" w:rsidRPr="00A40276" w:rsidTr="00914FD0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A40276" w:rsidTr="00914FD0">
        <w:trPr>
          <w:trHeight w:val="4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 xml:space="preserve">Jared Ariel Muñoz </w:t>
            </w:r>
            <w:r w:rsidRPr="00731EDD">
              <w:rPr>
                <w:rFonts w:ascii="Arial" w:hAnsi="Arial" w:cs="Arial"/>
                <w:szCs w:val="13"/>
                <w:lang w:val="es-BO" w:eastAsia="es-BO"/>
              </w:rPr>
              <w:t>Morales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eastAsia="es-BO"/>
              </w:rPr>
              <w:t>Jefe  del Departamento d</w:t>
            </w:r>
            <w:r w:rsidRPr="00731EDD">
              <w:rPr>
                <w:rFonts w:ascii="Arial" w:hAnsi="Arial" w:cs="Arial"/>
                <w:szCs w:val="13"/>
                <w:lang w:eastAsia="es-BO"/>
              </w:rPr>
              <w:t>e Seguridad Y Continuidad Informática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3D3D1D" w:rsidRDefault="008E0054" w:rsidP="00914FD0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731EDD">
              <w:rPr>
                <w:rFonts w:ascii="Arial" w:hAnsi="Arial" w:cs="Arial"/>
                <w:szCs w:val="13"/>
                <w:lang w:eastAsia="es-BO"/>
              </w:rPr>
              <w:t>Departamento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545778" w:rsidTr="00914FD0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545778" w:rsidRDefault="008E0054" w:rsidP="00914FD0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8E0054" w:rsidRPr="00A40276" w:rsidTr="00914FD0">
        <w:trPr>
          <w:trHeight w:val="234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E0054" w:rsidRPr="00A40276" w:rsidRDefault="008E0054" w:rsidP="00914FD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F5226B" w:rsidRDefault="008E0054" w:rsidP="00914FD0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2409090 Internos:</w:t>
            </w:r>
          </w:p>
          <w:p w:rsidR="008E0054" w:rsidRPr="00F5226B" w:rsidRDefault="008E0054" w:rsidP="00914FD0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4729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Administrativas)</w:t>
            </w:r>
          </w:p>
          <w:p w:rsidR="008E0054" w:rsidRPr="00802420" w:rsidRDefault="008E0054" w:rsidP="00914FD0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1154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54" w:rsidRPr="00802420" w:rsidRDefault="008E0054" w:rsidP="00914FD0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802420" w:rsidRDefault="008E0054" w:rsidP="00914FD0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0054" w:rsidRPr="00802420" w:rsidRDefault="008E0054" w:rsidP="00914FD0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054" w:rsidRPr="00802420" w:rsidRDefault="008E0054" w:rsidP="00914FD0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3"/>
                <w:szCs w:val="13"/>
                <w:lang w:val="pt-BR" w:eastAsia="es-BO"/>
              </w:rPr>
              <w:t>jcvargas</w:t>
            </w:r>
            <w:proofErr w:type="gramEnd"/>
            <w:hyperlink r:id="rId7" w:history="1">
              <w:r w:rsidRPr="00802420">
                <w:rPr>
                  <w:rStyle w:val="Hipervnculo"/>
                  <w:rFonts w:ascii="Arial" w:hAnsi="Arial" w:cs="Arial"/>
                  <w:sz w:val="13"/>
                  <w:szCs w:val="13"/>
                  <w:lang w:val="pt-BR" w:eastAsia="es-BO"/>
                </w:rPr>
                <w:t>@bcb.gob.bo</w:t>
              </w:r>
            </w:hyperlink>
          </w:p>
          <w:p w:rsidR="008E0054" w:rsidRPr="00802420" w:rsidRDefault="008E0054" w:rsidP="00914FD0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8E0054" w:rsidRPr="00802420" w:rsidRDefault="008E0054" w:rsidP="00914FD0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Style w:val="Hipervnculo"/>
                <w:rFonts w:ascii="Arial" w:hAnsi="Arial" w:cs="Arial"/>
                <w:sz w:val="13"/>
                <w:szCs w:val="13"/>
              </w:rPr>
              <w:t>amunoz</w:t>
            </w:r>
            <w:r w:rsidRPr="003157FB">
              <w:rPr>
                <w:rStyle w:val="Hipervnculo"/>
                <w:rFonts w:ascii="Arial" w:hAnsi="Arial" w:cs="Arial"/>
                <w:sz w:val="13"/>
                <w:szCs w:val="13"/>
              </w:rPr>
              <w:t>@bcb.gob.bo</w:t>
            </w:r>
            <w:r w:rsidRPr="00EC1885">
              <w:rPr>
                <w:rStyle w:val="Hipervnculo"/>
                <w:rFonts w:ascii="Arial" w:hAnsi="Arial" w:cs="Arial"/>
                <w:sz w:val="13"/>
                <w:szCs w:val="13"/>
              </w:rPr>
              <w:t xml:space="preserve"> </w:t>
            </w:r>
            <w:r w:rsidRPr="00802420">
              <w:rPr>
                <w:rFonts w:ascii="Arial" w:hAnsi="Arial" w:cs="Arial"/>
                <w:sz w:val="13"/>
                <w:szCs w:val="13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E0054" w:rsidRPr="00A40276" w:rsidRDefault="008E0054" w:rsidP="00914FD0">
            <w:pPr>
              <w:rPr>
                <w:rFonts w:ascii="Arial" w:hAnsi="Arial" w:cs="Arial"/>
                <w:lang w:val="es-BO"/>
              </w:rPr>
            </w:pPr>
          </w:p>
        </w:tc>
      </w:tr>
      <w:tr w:rsidR="008E0054" w:rsidRPr="00545778" w:rsidTr="00914FD0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E0054" w:rsidRPr="00A40276" w:rsidTr="00914FD0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E0054" w:rsidRPr="00570491" w:rsidRDefault="008E0054" w:rsidP="00914FD0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8E0054" w:rsidRPr="00087393" w:rsidRDefault="008E0054" w:rsidP="00914FD0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4C52AB" w:rsidRDefault="008E0054" w:rsidP="00914FD0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Número de Cuenta: 10000041173216</w:t>
            </w:r>
          </w:p>
          <w:p w:rsidR="008E0054" w:rsidRPr="004C52AB" w:rsidRDefault="008E0054" w:rsidP="00914FD0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Banco: Banco Unión S.A.</w:t>
            </w:r>
          </w:p>
          <w:p w:rsidR="008E0054" w:rsidRPr="004C52AB" w:rsidRDefault="008E0054" w:rsidP="00914FD0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Titular: Tesoro General de la Nación</w:t>
            </w:r>
          </w:p>
          <w:p w:rsidR="008E0054" w:rsidRPr="00570491" w:rsidRDefault="008E0054" w:rsidP="00914FD0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4C52AB">
              <w:rPr>
                <w:rFonts w:ascii="Arial" w:hAnsi="Arial" w:cs="Arial"/>
                <w:sz w:val="15"/>
                <w:szCs w:val="15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E0054" w:rsidRPr="00A40276" w:rsidRDefault="008E0054" w:rsidP="00914F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E0054" w:rsidRPr="00545778" w:rsidTr="00914FD0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E0054" w:rsidRPr="00545778" w:rsidRDefault="008E0054" w:rsidP="00914F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8E0054" w:rsidRPr="00023739" w:rsidRDefault="008E0054" w:rsidP="008E0054">
      <w:pPr>
        <w:rPr>
          <w:sz w:val="6"/>
          <w:lang w:val="es-BO"/>
        </w:rPr>
      </w:pPr>
    </w:p>
    <w:p w:rsidR="008E0054" w:rsidRDefault="008E0054" w:rsidP="008E0054">
      <w:pPr>
        <w:jc w:val="both"/>
        <w:rPr>
          <w:rFonts w:cs="Arial"/>
          <w:sz w:val="18"/>
          <w:szCs w:val="18"/>
        </w:rPr>
      </w:pPr>
    </w:p>
    <w:p w:rsidR="008E0054" w:rsidRDefault="008E0054" w:rsidP="008E0054">
      <w:pPr>
        <w:jc w:val="both"/>
        <w:rPr>
          <w:rFonts w:cs="Arial"/>
          <w:sz w:val="18"/>
          <w:szCs w:val="18"/>
        </w:rPr>
      </w:pPr>
    </w:p>
    <w:p w:rsidR="008E0054" w:rsidRDefault="008E0054" w:rsidP="008E0054">
      <w:pPr>
        <w:jc w:val="both"/>
        <w:rPr>
          <w:rFonts w:cs="Arial"/>
          <w:sz w:val="18"/>
          <w:szCs w:val="18"/>
        </w:rPr>
      </w:pPr>
    </w:p>
    <w:p w:rsidR="008E0054" w:rsidRDefault="008E0054" w:rsidP="008E0054">
      <w:pPr>
        <w:jc w:val="both"/>
        <w:rPr>
          <w:rFonts w:cs="Arial"/>
          <w:sz w:val="18"/>
          <w:szCs w:val="18"/>
        </w:rPr>
      </w:pPr>
    </w:p>
    <w:p w:rsidR="008E0054" w:rsidRDefault="008E0054" w:rsidP="008E0054">
      <w:pPr>
        <w:jc w:val="both"/>
        <w:rPr>
          <w:rFonts w:cs="Arial"/>
          <w:sz w:val="18"/>
          <w:szCs w:val="18"/>
        </w:rPr>
      </w:pPr>
    </w:p>
    <w:p w:rsidR="008E0054" w:rsidRDefault="008E0054" w:rsidP="008E0054">
      <w:pPr>
        <w:jc w:val="both"/>
        <w:rPr>
          <w:rFonts w:cs="Arial"/>
          <w:sz w:val="18"/>
          <w:szCs w:val="18"/>
        </w:rPr>
      </w:pPr>
    </w:p>
    <w:p w:rsidR="008E0054" w:rsidRDefault="008E0054" w:rsidP="008E0054">
      <w:pPr>
        <w:jc w:val="both"/>
        <w:rPr>
          <w:rFonts w:cs="Arial"/>
          <w:sz w:val="18"/>
          <w:szCs w:val="18"/>
        </w:rPr>
      </w:pPr>
    </w:p>
    <w:p w:rsidR="008E0054" w:rsidRPr="004B26AD" w:rsidRDefault="008E0054" w:rsidP="008E005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E0054" w:rsidRPr="00023739" w:rsidRDefault="008E0054" w:rsidP="008E0054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14"/>
        <w:gridCol w:w="1983"/>
        <w:gridCol w:w="1045"/>
        <w:gridCol w:w="3215"/>
      </w:tblGrid>
      <w:tr w:rsidR="008E0054" w:rsidRPr="000C6821" w:rsidTr="00914FD0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E0054" w:rsidRPr="000C6821" w:rsidTr="00914FD0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8E0054" w:rsidRPr="002B0B54" w:rsidRDefault="008E0054" w:rsidP="008E0054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7"/>
        <w:gridCol w:w="2504"/>
        <w:gridCol w:w="7"/>
        <w:gridCol w:w="273"/>
        <w:gridCol w:w="62"/>
        <w:gridCol w:w="135"/>
        <w:gridCol w:w="135"/>
        <w:gridCol w:w="113"/>
        <w:gridCol w:w="135"/>
        <w:gridCol w:w="365"/>
        <w:gridCol w:w="135"/>
        <w:gridCol w:w="533"/>
        <w:gridCol w:w="144"/>
        <w:gridCol w:w="135"/>
        <w:gridCol w:w="314"/>
        <w:gridCol w:w="135"/>
        <w:gridCol w:w="310"/>
        <w:gridCol w:w="138"/>
        <w:gridCol w:w="138"/>
        <w:gridCol w:w="2905"/>
        <w:gridCol w:w="134"/>
      </w:tblGrid>
      <w:tr w:rsidR="008E0054" w:rsidRPr="000C6821" w:rsidTr="00914FD0">
        <w:trPr>
          <w:trHeight w:val="130"/>
        </w:trPr>
        <w:tc>
          <w:tcPr>
            <w:tcW w:w="16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45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4E1F06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4E1F06" w:rsidTr="00914FD0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4E1F06" w:rsidTr="00914FD0">
        <w:trPr>
          <w:trHeight w:val="64"/>
        </w:trPr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4E1F06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4E1F06" w:rsidTr="00914FD0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4E1F06" w:rsidTr="00914FD0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4E1F06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263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45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8E0054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8E0054" w:rsidRPr="002F238F" w:rsidRDefault="008E0054" w:rsidP="00914FD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pStyle w:val="Textoindependiente3"/>
              <w:spacing w:after="0"/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87393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87393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87393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87393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87393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87393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0054" w:rsidRPr="00087393" w:rsidRDefault="008E0054" w:rsidP="00914F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171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2F238F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8E0054" w:rsidRPr="002E7E3B" w:rsidRDefault="008E0054" w:rsidP="00914FD0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0F4811">
              <w:rPr>
                <w:rFonts w:ascii="Arial" w:hAnsi="Arial" w:cs="Arial"/>
                <w:sz w:val="13"/>
                <w:szCs w:val="13"/>
                <w:lang w:eastAsia="en-US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al siguiente enlace a través de zoom: </w:t>
            </w:r>
            <w:r w:rsidRPr="00731EDD">
              <w:rPr>
                <w:rStyle w:val="Hipervnculo"/>
                <w:rFonts w:ascii="Arial" w:hAnsi="Arial" w:cs="Arial"/>
                <w:b/>
                <w:sz w:val="13"/>
                <w:szCs w:val="13"/>
                <w:lang w:eastAsia="en-US"/>
              </w:rPr>
              <w:t>https://bcb-gob-bo.zoom.us/j/85094267119?pwd=tEtcJbDncV2TjHKhyeeQ9zXQQpa5ao.1</w:t>
            </w:r>
          </w:p>
          <w:p w:rsidR="008E0054" w:rsidRPr="002E7E3B" w:rsidRDefault="008E0054" w:rsidP="00914FD0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</w:p>
          <w:p w:rsidR="008E0054" w:rsidRPr="002E7E3B" w:rsidRDefault="008E0054" w:rsidP="00914FD0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ID de reunión: </w:t>
            </w:r>
            <w:r w:rsidRPr="00731EDD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850 9426 7119</w:t>
            </w:r>
          </w:p>
          <w:p w:rsidR="008E0054" w:rsidRPr="000C6821" w:rsidRDefault="008E0054" w:rsidP="00914FD0">
            <w:pPr>
              <w:widowControl w:val="0"/>
              <w:jc w:val="both"/>
              <w:rPr>
                <w:rFonts w:ascii="Arial" w:hAnsi="Arial" w:cs="Arial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Código de acceso:</w:t>
            </w:r>
            <w:r>
              <w:t xml:space="preserve"> </w:t>
            </w:r>
            <w:r w:rsidRPr="00731EDD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313516</w:t>
            </w:r>
          </w:p>
        </w:tc>
        <w:tc>
          <w:tcPr>
            <w:tcW w:w="73" w:type="pct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53"/>
        </w:trPr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0C6821" w:rsidTr="00914FD0">
        <w:trPr>
          <w:trHeight w:val="74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73"/>
        </w:trPr>
        <w:tc>
          <w:tcPr>
            <w:tcW w:w="1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53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E0054" w:rsidRPr="000C6821" w:rsidTr="00914FD0">
        <w:tc>
          <w:tcPr>
            <w:tcW w:w="16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0054" w:rsidRPr="000C6821" w:rsidRDefault="008E0054" w:rsidP="00914F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9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054" w:rsidRPr="000C6821" w:rsidRDefault="008E0054" w:rsidP="00914F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E0054" w:rsidRPr="000F4811" w:rsidRDefault="008E0054" w:rsidP="008E0054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8E0054" w:rsidRDefault="008E0054" w:rsidP="008E0054">
      <w:pPr>
        <w:pStyle w:val="Puesto"/>
        <w:spacing w:before="0" w:after="0"/>
        <w:jc w:val="both"/>
        <w:rPr>
          <w:i/>
        </w:rPr>
      </w:pPr>
      <w:bookmarkStart w:id="1" w:name="_Hlk76392171"/>
    </w:p>
    <w:p w:rsidR="002B4E3D" w:rsidRPr="007C33A0" w:rsidRDefault="008E0054" w:rsidP="008E0054">
      <w:r w:rsidRPr="00EC1885">
        <w:br w:type="page"/>
      </w:r>
      <w:bookmarkEnd w:id="1"/>
    </w:p>
    <w:sectPr w:rsidR="002B4E3D" w:rsidRPr="007C33A0" w:rsidSect="008E0054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96" w:rsidRDefault="005D1D96" w:rsidP="009148CD">
      <w:r>
        <w:separator/>
      </w:r>
    </w:p>
  </w:endnote>
  <w:endnote w:type="continuationSeparator" w:id="0">
    <w:p w:rsidR="005D1D96" w:rsidRDefault="005D1D96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96" w:rsidRDefault="005D1D96" w:rsidP="009148CD">
      <w:r>
        <w:separator/>
      </w:r>
    </w:p>
  </w:footnote>
  <w:footnote w:type="continuationSeparator" w:id="0">
    <w:p w:rsidR="005D1D96" w:rsidRDefault="005D1D96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65pt;height:56.65pt" o:ole="">
                <v:imagedata r:id="rId1" o:title="" gain="45875f" blacklevel="13107f" grayscale="t"/>
              </v:shape>
              <o:OLEObject Type="Embed" ProgID="MSPhotoEd.3" ShapeID="_x0000_i1025" DrawAspect="Content" ObjectID="_1794327139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2334DB"/>
    <w:rsid w:val="002B4E3D"/>
    <w:rsid w:val="002D50C9"/>
    <w:rsid w:val="0039100A"/>
    <w:rsid w:val="005C0436"/>
    <w:rsid w:val="005D1D96"/>
    <w:rsid w:val="007C33A0"/>
    <w:rsid w:val="007C7586"/>
    <w:rsid w:val="008041AB"/>
    <w:rsid w:val="0085386E"/>
    <w:rsid w:val="008B546E"/>
    <w:rsid w:val="008D5BF3"/>
    <w:rsid w:val="008E0054"/>
    <w:rsid w:val="009148CD"/>
    <w:rsid w:val="009C374B"/>
    <w:rsid w:val="00A02E86"/>
    <w:rsid w:val="00A506CB"/>
    <w:rsid w:val="00AF0416"/>
    <w:rsid w:val="00B650BD"/>
    <w:rsid w:val="00B862A0"/>
    <w:rsid w:val="00CB58A8"/>
    <w:rsid w:val="00D56ACC"/>
    <w:rsid w:val="00D878DB"/>
    <w:rsid w:val="00DA6254"/>
    <w:rsid w:val="00DB5904"/>
    <w:rsid w:val="00E4359A"/>
    <w:rsid w:val="00E9010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1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2024-11-28T23:23:00Z</dcterms:created>
  <dcterms:modified xsi:type="dcterms:W3CDTF">2024-11-28T23:25:00Z</dcterms:modified>
</cp:coreProperties>
</file>