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86" w:rsidRDefault="00A02E86" w:rsidP="00A02E86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A02E86" w:rsidRDefault="00A02E86" w:rsidP="00A02E8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A02E86" w:rsidRDefault="00A02E86" w:rsidP="00A02E86">
      <w:pPr>
        <w:rPr>
          <w:lang w:val="es-BO"/>
        </w:rPr>
      </w:pPr>
      <w:r>
        <w:rPr>
          <w:lang w:val="es-BO"/>
        </w:rPr>
        <w:tab/>
      </w:r>
    </w:p>
    <w:p w:rsidR="00A02E86" w:rsidRPr="00A02E86" w:rsidRDefault="00A02E86" w:rsidP="00A02E8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02E86" w:rsidRPr="009956C4" w:rsidTr="00E01CD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2E86" w:rsidRPr="009956C4" w:rsidRDefault="00A02E86" w:rsidP="00E01CD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A02E8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02E86" w:rsidRPr="0054356D" w:rsidTr="00E01CD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54356D" w:rsidRDefault="00A02E86" w:rsidP="00E01C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2E86" w:rsidRPr="0054356D" w:rsidTr="00E01CD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02E86" w:rsidRPr="009956C4" w:rsidTr="00E01CD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  <w:r w:rsidRPr="00517B2B">
              <w:rPr>
                <w:rFonts w:ascii="Arial" w:hAnsi="Arial" w:cs="Arial"/>
                <w:sz w:val="14"/>
                <w:lang w:val="es-BO"/>
              </w:rPr>
              <w:t xml:space="preserve">ANPE – C Nº </w:t>
            </w:r>
            <w:r>
              <w:rPr>
                <w:rFonts w:ascii="Arial" w:hAnsi="Arial" w:cs="Arial"/>
                <w:sz w:val="14"/>
                <w:lang w:val="es-BO"/>
              </w:rPr>
              <w:t>157</w:t>
            </w:r>
            <w:r w:rsidRPr="00517B2B">
              <w:rPr>
                <w:rFonts w:ascii="Arial" w:hAnsi="Arial" w:cs="Arial"/>
                <w:sz w:val="14"/>
                <w:lang w:val="es-BO"/>
              </w:rPr>
              <w:t>/202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517B2B">
              <w:rPr>
                <w:rFonts w:ascii="Arial" w:hAnsi="Arial" w:cs="Arial"/>
                <w:sz w:val="14"/>
                <w:lang w:val="es-BO"/>
              </w:rPr>
              <w:t xml:space="preserve">– 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517B2B">
              <w:rPr>
                <w:rFonts w:ascii="Arial" w:hAnsi="Arial" w:cs="Arial"/>
                <w:sz w:val="14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02E86" w:rsidRPr="00A93AB0" w:rsidTr="00E01CD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A93AB0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A02E86" w:rsidRPr="00A93AB0" w:rsidTr="00E01CD7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02E86" w:rsidRPr="002662F5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02E86" w:rsidRPr="00A93AB0" w:rsidTr="00E01CD7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643A1B" w:rsidRDefault="00A02E86" w:rsidP="00E01CD7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  <w:r w:rsidRPr="00643A1B">
              <w:rPr>
                <w:rFonts w:ascii="Arial" w:hAnsi="Arial" w:cs="Arial"/>
                <w:b/>
              </w:rPr>
              <w:t>ADQUISICIÓN DE CARROS PARA EL TRANSPORTE DE MATERIAL MONETARIO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A93AB0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  <w:tr w:rsidR="00A02E86" w:rsidRPr="0054356D" w:rsidTr="00E01CD7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A02E86" w:rsidRPr="009956C4" w:rsidTr="00E01CD7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02E86" w:rsidRPr="009956C4" w:rsidTr="00E01CD7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2E86" w:rsidRPr="002662F5" w:rsidTr="00E01CD7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02E86" w:rsidRPr="009956C4" w:rsidTr="00E01CD7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54356D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54356D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Bs79.892,00 (Setenta y Nueve Mil Ochocientos Noventa y Dos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20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2662F5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02E86" w:rsidRPr="009956C4" w:rsidTr="00E01CD7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A02E86" w:rsidRPr="00200AD8" w:rsidRDefault="00A02E86" w:rsidP="00E01CD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200AD8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A02E86" w:rsidRPr="00200AD8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A02E86" w:rsidRPr="00200AD8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200AD8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A02E86" w:rsidRPr="00200AD8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200AD8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200AD8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02E86" w:rsidRPr="002662F5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643A1B" w:rsidRDefault="00A02E86" w:rsidP="00E01CD7">
            <w:pPr>
              <w:rPr>
                <w:rFonts w:ascii="Arial" w:hAnsi="Arial" w:cs="Arial"/>
                <w:bCs/>
                <w:iCs/>
                <w:lang w:val="es-BO"/>
              </w:rPr>
            </w:pPr>
            <w:r w:rsidRPr="00643A1B">
              <w:rPr>
                <w:rFonts w:ascii="Arial" w:hAnsi="Arial" w:cs="Arial"/>
                <w:bCs/>
                <w:iCs/>
                <w:lang w:val="es-BO"/>
              </w:rPr>
              <w:t xml:space="preserve">El plazo para la entrega de los bienes será treinta (30) días calendario, computables desde el día hábil siguiente de la suscripción del contrato por parte del proveedor.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2662F5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02E86" w:rsidRPr="00507C36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A33D43">
              <w:rPr>
                <w:rFonts w:ascii="Arial" w:hAnsi="Arial" w:cs="Arial"/>
                <w:bCs/>
                <w:iCs/>
                <w:szCs w:val="18"/>
              </w:rPr>
              <w:t xml:space="preserve">El proponente adjudicado deberá </w:t>
            </w:r>
            <w:r w:rsidRPr="00643A1B">
              <w:rPr>
                <w:rFonts w:ascii="Arial" w:hAnsi="Arial" w:cs="Arial"/>
                <w:bCs/>
                <w:iCs/>
                <w:szCs w:val="18"/>
                <w:lang w:val="es-BO"/>
              </w:rPr>
              <w:t>presentar</w:t>
            </w:r>
            <w:r w:rsidRPr="00A33D43">
              <w:rPr>
                <w:rFonts w:ascii="Arial" w:hAnsi="Arial" w:cs="Arial"/>
                <w:bCs/>
                <w:iCs/>
                <w:szCs w:val="18"/>
              </w:rPr>
              <w:t xml:space="preserve"> una Garantía de Cumplimiento de Contrato equivalente al 7% del monto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total del contrato, según </w:t>
            </w:r>
            <w:r w:rsidRPr="004F0265">
              <w:rPr>
                <w:rFonts w:ascii="Arial" w:hAnsi="Arial" w:cs="Arial"/>
                <w:lang w:val="es-ES_tradnl"/>
              </w:rPr>
              <w:t>el Artículo 2</w:t>
            </w:r>
            <w:r>
              <w:rPr>
                <w:rFonts w:ascii="Arial" w:hAnsi="Arial" w:cs="Arial"/>
                <w:lang w:val="es-ES_tradnl"/>
              </w:rPr>
              <w:t>0</w:t>
            </w:r>
            <w:r w:rsidRPr="004F0265">
              <w:rPr>
                <w:rFonts w:ascii="Arial" w:hAnsi="Arial" w:cs="Arial"/>
                <w:lang w:val="es-ES_tradnl"/>
              </w:rPr>
              <w:t xml:space="preserve"> del D.S. N° 181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2662F5" w:rsidTr="00E01CD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02E86" w:rsidRPr="009956C4" w:rsidTr="00E01CD7">
        <w:trPr>
          <w:trHeight w:val="207"/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02E86" w:rsidRPr="00507C36" w:rsidRDefault="00A02E86" w:rsidP="00E01CD7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197"/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A02E86" w:rsidRPr="009956C4" w:rsidTr="00E01CD7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517B2B" w:rsidRDefault="00A02E86" w:rsidP="00E01CD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02E86" w:rsidRPr="009956C4" w:rsidTr="00E01CD7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2E86" w:rsidRPr="009956C4" w:rsidRDefault="00A02E86" w:rsidP="00E01CD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02E86" w:rsidRPr="009956C4" w:rsidTr="00E01CD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A02E86" w:rsidRPr="009956C4" w:rsidRDefault="00A02E86" w:rsidP="00E01CD7">
            <w:pPr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A02E86" w:rsidRPr="009956C4" w:rsidRDefault="00A02E86" w:rsidP="00E01CD7">
            <w:pPr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A02E86" w:rsidRPr="009956C4" w:rsidRDefault="00A02E86" w:rsidP="00E01C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A02E86" w:rsidRPr="009956C4" w:rsidRDefault="00A02E86" w:rsidP="00E01C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A02E86" w:rsidRPr="009956C4" w:rsidRDefault="00A02E86" w:rsidP="00E01C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02E86" w:rsidRPr="009956C4" w:rsidTr="00E01CD7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  <w:tr w:rsidR="00A02E86" w:rsidRPr="009956C4" w:rsidTr="00E01CD7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Jacqueline Giovana Chura </w:t>
            </w:r>
            <w:r w:rsidRPr="00BA3D55">
              <w:rPr>
                <w:rFonts w:ascii="Arial" w:hAnsi="Arial" w:cs="Arial"/>
                <w:lang w:val="es-BO" w:eastAsia="es-BO"/>
              </w:rPr>
              <w:t>Valero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BA3D55">
              <w:t>Profesional Administrativo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BA3D55">
              <w:rPr>
                <w:rFonts w:ascii="Arial" w:hAnsi="Arial" w:cs="Arial"/>
                <w:sz w:val="14"/>
                <w:lang w:eastAsia="es-BO"/>
              </w:rPr>
              <w:t>Departamento de Análisis y Programación del Material Monetario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  <w:tr w:rsidR="00A02E86" w:rsidRPr="002662F5" w:rsidTr="00E01CD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2662F5" w:rsidRDefault="00A02E86" w:rsidP="00E01CD7">
            <w:pPr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2662F5" w:rsidRDefault="00A02E86" w:rsidP="00E01CD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02E86" w:rsidRPr="009956C4" w:rsidTr="00E01CD7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5065DA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A02E86" w:rsidRPr="005065DA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2084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02E86" w:rsidRPr="005065DA" w:rsidRDefault="00A02E86" w:rsidP="00E01CD7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5A4C10">
                <w:rPr>
                  <w:rStyle w:val="Hipervnculo"/>
                  <w:rFonts w:ascii="Arial" w:hAnsi="Arial" w:cs="Arial"/>
                </w:rPr>
                <w:t>jcvargas@bcb.gob.bo</w:t>
              </w:r>
            </w:hyperlink>
            <w:r w:rsidRPr="00BA3D55">
              <w:rPr>
                <w:rFonts w:ascii="Arial" w:hAnsi="Arial" w:cs="Arial"/>
                <w:color w:val="0000FF"/>
                <w:u w:val="single"/>
                <w:lang w:val="pt-BR"/>
              </w:rPr>
              <w:t xml:space="preserve"> </w:t>
            </w: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A02E86" w:rsidRDefault="00A02E86" w:rsidP="00E01CD7">
            <w:pPr>
              <w:rPr>
                <w:rFonts w:ascii="Arial" w:hAnsi="Arial" w:cs="Arial"/>
                <w:color w:val="0000FF"/>
                <w:u w:val="single"/>
                <w:lang w:val="es-BO"/>
              </w:rPr>
            </w:pPr>
            <w:hyperlink r:id="rId8" w:history="1">
              <w:r w:rsidRPr="00BA3D55">
                <w:rPr>
                  <w:rStyle w:val="Hipervnculo"/>
                  <w:rFonts w:ascii="Arial" w:hAnsi="Arial" w:cs="Arial"/>
                </w:rPr>
                <w:t>jchura@bcb.gob.bo</w:t>
              </w:r>
            </w:hyperlink>
            <w:r w:rsidRPr="00BA3D55">
              <w:rPr>
                <w:rFonts w:ascii="Arial" w:hAnsi="Arial" w:cs="Arial"/>
                <w:color w:val="0000FF"/>
                <w:u w:val="single"/>
                <w:lang w:val="es-BO"/>
              </w:rPr>
              <w:t xml:space="preserve"> </w:t>
            </w:r>
          </w:p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u w:val="single"/>
                <w:lang w:val="es-BO"/>
              </w:rPr>
              <w:t>(</w:t>
            </w: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02E86" w:rsidRPr="009956C4" w:rsidRDefault="00A02E86" w:rsidP="00E01CD7">
            <w:pPr>
              <w:rPr>
                <w:rFonts w:ascii="Arial" w:hAnsi="Arial" w:cs="Arial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402294" w:rsidRDefault="00A02E86" w:rsidP="00E01CD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A02E86" w:rsidRPr="009956C4" w:rsidRDefault="00A02E86" w:rsidP="00E01CD7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02E86" w:rsidRPr="009956C4" w:rsidTr="00E01CD7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02E86" w:rsidRPr="009956C4" w:rsidRDefault="00A02E86" w:rsidP="00E01C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A02E86" w:rsidRDefault="00A02E86" w:rsidP="00A02E8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A02E86" w:rsidRDefault="00A02E86" w:rsidP="00A02E86">
      <w:pPr>
        <w:rPr>
          <w:lang w:val="es-BO"/>
        </w:rPr>
      </w:pPr>
    </w:p>
    <w:p w:rsidR="00A02E86" w:rsidRPr="00FB1195" w:rsidRDefault="00A02E86" w:rsidP="00A02E86">
      <w:pPr>
        <w:rPr>
          <w:lang w:val="es-BO"/>
        </w:rPr>
      </w:pPr>
    </w:p>
    <w:p w:rsidR="00A02E86" w:rsidRPr="00FB1195" w:rsidRDefault="00A02E86" w:rsidP="00A02E86">
      <w:pPr>
        <w:rPr>
          <w:lang w:val="es-BO"/>
        </w:rPr>
      </w:pPr>
    </w:p>
    <w:p w:rsidR="002B4E3D" w:rsidRPr="000A111D" w:rsidRDefault="002B4E3D" w:rsidP="00A02E86">
      <w:pPr>
        <w:pStyle w:val="Ttulo1"/>
        <w:numPr>
          <w:ilvl w:val="0"/>
          <w:numId w:val="0"/>
        </w:numPr>
        <w:rPr>
          <w:rFonts w:ascii="Verdana" w:hAnsi="Verdana" w:cs="Arial"/>
          <w:sz w:val="17"/>
          <w:szCs w:val="17"/>
          <w:u w:val="none"/>
          <w:lang w:val="es-BO"/>
        </w:rPr>
      </w:pPr>
    </w:p>
    <w:p w:rsidR="002B4E3D" w:rsidRPr="000A111D" w:rsidRDefault="002B4E3D" w:rsidP="00A02E86">
      <w:pPr>
        <w:rPr>
          <w:sz w:val="17"/>
          <w:szCs w:val="17"/>
          <w:lang w:val="es-BO"/>
        </w:rPr>
      </w:pPr>
      <w:bookmarkStart w:id="0" w:name="_GoBack"/>
      <w:bookmarkEnd w:id="0"/>
    </w:p>
    <w:p w:rsidR="002B4E3D" w:rsidRDefault="002B4E3D" w:rsidP="00A02E86">
      <w:pPr>
        <w:rPr>
          <w:sz w:val="17"/>
          <w:szCs w:val="17"/>
          <w:lang w:val="es-BO"/>
        </w:rPr>
      </w:pPr>
    </w:p>
    <w:p w:rsidR="008041AB" w:rsidRDefault="008041AB" w:rsidP="00A02E86">
      <w:pPr>
        <w:rPr>
          <w:lang w:val="es-BO"/>
        </w:rPr>
      </w:pPr>
    </w:p>
    <w:p w:rsidR="00DB5904" w:rsidRDefault="00DB5904" w:rsidP="00A02E86">
      <w:pPr>
        <w:rPr>
          <w:rFonts w:cs="Arial"/>
          <w:sz w:val="18"/>
          <w:szCs w:val="18"/>
        </w:rPr>
      </w:pPr>
    </w:p>
    <w:p w:rsidR="00A02E86" w:rsidRPr="009956C4" w:rsidRDefault="007C7586" w:rsidP="00A02E86">
      <w:pPr>
        <w:rPr>
          <w:rFonts w:cs="Arial"/>
          <w:sz w:val="18"/>
          <w:szCs w:val="18"/>
          <w:lang w:val="es-BO"/>
        </w:rPr>
      </w:pPr>
      <w:r w:rsidRPr="00362942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  <w:r w:rsidR="00A02E86" w:rsidRPr="00A02E86">
        <w:rPr>
          <w:rFonts w:cs="Arial"/>
          <w:sz w:val="18"/>
          <w:szCs w:val="18"/>
          <w:lang w:val="es-BO"/>
        </w:rPr>
        <w:t xml:space="preserve"> </w:t>
      </w:r>
    </w:p>
    <w:p w:rsidR="00A02E86" w:rsidRPr="00DF1D1E" w:rsidRDefault="00A02E86" w:rsidP="00A02E8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A02E86" w:rsidRPr="009956C4" w:rsidTr="00A02E86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02E86" w:rsidRPr="009956C4" w:rsidTr="00A02E8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E7F5A" w:rsidRDefault="00A02E86" w:rsidP="00E01CD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02E86" w:rsidRPr="009E7F5A" w:rsidRDefault="00A02E86" w:rsidP="00A02E86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02E86" w:rsidRPr="002662F5" w:rsidRDefault="00A02E86" w:rsidP="00E01CD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86" w:rsidRPr="009956C4" w:rsidTr="00A02E86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2662F5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2662F5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752BD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2662F5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86" w:rsidRPr="009956C4" w:rsidTr="00A02E86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CC4BFE" w:rsidRDefault="00A02E86" w:rsidP="00E01CD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CC4BFE" w:rsidRDefault="00A02E86" w:rsidP="00E01CD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EE5208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FD7E8D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FD7E8D" w:rsidRDefault="00A02E86" w:rsidP="00E01CD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A02E86" w:rsidRPr="00E50311" w:rsidRDefault="00A02E86" w:rsidP="00E01CD7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BA3D55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https://bcb-gob-bo.zoom.us/j/86093763252?pwd=f3CbC0jzjZM7wm4m5tPLalcmzeExhZ.1</w:t>
            </w:r>
          </w:p>
          <w:p w:rsidR="00A02E86" w:rsidRPr="00E50311" w:rsidRDefault="00A02E86" w:rsidP="00E01CD7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A02E86" w:rsidRPr="00E50311" w:rsidRDefault="00A02E86" w:rsidP="00E01CD7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ID de reunión: </w:t>
            </w:r>
            <w:r w:rsidRPr="00BA3D55">
              <w:rPr>
                <w:rFonts w:ascii="Helvetica" w:hAnsi="Helvetica" w:cs="Helvetica"/>
                <w:color w:val="0000FF"/>
                <w:sz w:val="14"/>
                <w:szCs w:val="14"/>
                <w:u w:val="single"/>
              </w:rPr>
              <w:t>860 9376 3252</w:t>
            </w:r>
          </w:p>
          <w:p w:rsidR="00A02E86" w:rsidRPr="00623877" w:rsidRDefault="00A02E86" w:rsidP="00E01CD7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Código de acceso: </w:t>
            </w:r>
            <w:r w:rsidRPr="00BA3D55">
              <w:rPr>
                <w:rStyle w:val="Hipervnculo"/>
                <w:rFonts w:ascii="Helvetica" w:hAnsi="Helvetica" w:cs="Helvetica"/>
                <w:sz w:val="14"/>
                <w:szCs w:val="14"/>
              </w:rPr>
              <w:t>250117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86" w:rsidRPr="009956C4" w:rsidTr="00A02E86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9956C4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9956C4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9956C4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A244D6" w:rsidTr="00A02E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86" w:rsidRPr="00A244D6" w:rsidTr="00A02E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2E86" w:rsidRPr="00A244D6" w:rsidRDefault="00A02E86" w:rsidP="00E01CD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86" w:rsidRPr="00A244D6" w:rsidRDefault="00A02E86" w:rsidP="00E01C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A244D6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86" w:rsidRPr="00DF1D1E" w:rsidTr="00A02E86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2E86" w:rsidRPr="00DF1D1E" w:rsidRDefault="00A02E86" w:rsidP="00E01CD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02E86" w:rsidRPr="00DF1D1E" w:rsidRDefault="00A02E86" w:rsidP="00E01CD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2E86" w:rsidRPr="00DF1D1E" w:rsidRDefault="00A02E86" w:rsidP="00E01C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86" w:rsidRPr="00DF1D1E" w:rsidRDefault="00A02E86" w:rsidP="00E01CD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A02E86" w:rsidRPr="00A244D6" w:rsidRDefault="00A02E86" w:rsidP="00A02E8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B4E3D" w:rsidRDefault="002B4E3D" w:rsidP="002B4E3D">
      <w:pPr>
        <w:rPr>
          <w:rFonts w:cs="Arial"/>
          <w:sz w:val="18"/>
          <w:szCs w:val="18"/>
        </w:rPr>
      </w:pPr>
    </w:p>
    <w:sectPr w:rsidR="002B4E3D" w:rsidSect="00A02E86">
      <w:headerReference w:type="default" r:id="rId10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54" w:rsidRDefault="00DA6254" w:rsidP="009148CD">
      <w:r>
        <w:separator/>
      </w:r>
    </w:p>
  </w:endnote>
  <w:endnote w:type="continuationSeparator" w:id="0">
    <w:p w:rsidR="00DA6254" w:rsidRDefault="00DA6254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54" w:rsidRDefault="00DA6254" w:rsidP="009148CD">
      <w:r>
        <w:separator/>
      </w:r>
    </w:p>
  </w:footnote>
  <w:footnote w:type="continuationSeparator" w:id="0">
    <w:p w:rsidR="00DA6254" w:rsidRDefault="00DA6254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9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A02E86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5pt;height:56.55pt" o:ole="">
                <v:imagedata r:id="rId1" o:title="" gain="45875f" blacklevel="13107f" grayscale="t"/>
              </v:shape>
              <o:OLEObject Type="Embed" ProgID="MSPhotoEd.3" ShapeID="_x0000_i1025" DrawAspect="Content" ObjectID="_1789239667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B4E3D"/>
    <w:rsid w:val="002D50C9"/>
    <w:rsid w:val="0039100A"/>
    <w:rsid w:val="005C0436"/>
    <w:rsid w:val="007C7586"/>
    <w:rsid w:val="008041AB"/>
    <w:rsid w:val="008B546E"/>
    <w:rsid w:val="009148CD"/>
    <w:rsid w:val="009C374B"/>
    <w:rsid w:val="00A02E86"/>
    <w:rsid w:val="00A506CB"/>
    <w:rsid w:val="00CB58A8"/>
    <w:rsid w:val="00D56ACC"/>
    <w:rsid w:val="00D878DB"/>
    <w:rsid w:val="00DA6254"/>
    <w:rsid w:val="00DB5904"/>
    <w:rsid w:val="00E4359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2024-10-01T02:15:00Z</dcterms:created>
  <dcterms:modified xsi:type="dcterms:W3CDTF">2024-10-01T02:15:00Z</dcterms:modified>
</cp:coreProperties>
</file>