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D2" w:rsidRDefault="006937FA" w:rsidP="00CF152C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CF152C" w:rsidRPr="009956C4" w:rsidRDefault="00CF152C" w:rsidP="00CF152C">
      <w:pPr>
        <w:jc w:val="both"/>
        <w:rPr>
          <w:rFonts w:cs="Arial"/>
          <w:sz w:val="2"/>
          <w:szCs w:val="18"/>
          <w:lang w:val="es-BO"/>
        </w:rPr>
      </w:pPr>
    </w:p>
    <w:p w:rsidR="00CF152C" w:rsidRPr="009956C4" w:rsidRDefault="00CF152C" w:rsidP="00CF152C">
      <w:pPr>
        <w:jc w:val="both"/>
        <w:rPr>
          <w:rFonts w:cs="Arial"/>
          <w:sz w:val="2"/>
          <w:szCs w:val="18"/>
          <w:lang w:val="es-BO"/>
        </w:rPr>
      </w:pPr>
    </w:p>
    <w:p w:rsidR="00CF152C" w:rsidRDefault="00CF152C" w:rsidP="00CF152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CF152C" w:rsidRPr="009B35EF" w:rsidRDefault="00CF152C" w:rsidP="00CF152C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F152C" w:rsidRPr="009956C4" w:rsidTr="000B226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152C" w:rsidRPr="009956C4" w:rsidRDefault="00CF152C" w:rsidP="00CF152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F152C" w:rsidRPr="0054356D" w:rsidTr="000B226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54356D" w:rsidRDefault="00CF152C" w:rsidP="000B226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152C" w:rsidRPr="0054356D" w:rsidTr="000B226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152C" w:rsidRPr="009956C4" w:rsidTr="000B226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118/2023– 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152C" w:rsidRPr="00A93AB0" w:rsidTr="000B226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A93AB0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CF152C" w:rsidRPr="00A93AB0" w:rsidTr="000B2261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F152C" w:rsidRPr="000C6821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F152C" w:rsidRPr="00A93AB0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A93AB0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F152C" w:rsidRPr="002662F5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152C" w:rsidRPr="00A93AB0" w:rsidTr="000B2261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A93AB0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3AB0" w:rsidRDefault="00CF152C" w:rsidP="000B226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PROVISION E INSTALACION DE ALARMAS DE PANICO PARA CAJAS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A93AB0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  <w:tr w:rsidR="00CF152C" w:rsidRPr="0054356D" w:rsidTr="000B226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54356D" w:rsidRDefault="00CF152C" w:rsidP="000B226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CF152C" w:rsidRPr="009956C4" w:rsidTr="000B2261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507C36" w:rsidRDefault="00CF152C" w:rsidP="000B226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F152C" w:rsidRPr="00507C36" w:rsidRDefault="00CF152C" w:rsidP="000B226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152C" w:rsidRPr="009956C4" w:rsidTr="000B2261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F152C" w:rsidRPr="009956C4" w:rsidTr="000B2261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152C" w:rsidRPr="002662F5" w:rsidTr="000B2261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152C" w:rsidRPr="009956C4" w:rsidTr="000B2261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507C36" w:rsidRDefault="00CF152C" w:rsidP="000B226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507C36" w:rsidRDefault="00CF152C" w:rsidP="000B226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54356D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54356D" w:rsidRDefault="00CF152C" w:rsidP="000B226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54356D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Bs93.558,00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2662F5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152C" w:rsidRPr="009956C4" w:rsidTr="000B2261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507C36" w:rsidRDefault="00CF152C" w:rsidP="000B226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CF152C" w:rsidRPr="00507C36" w:rsidRDefault="00CF152C" w:rsidP="000B2261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152C" w:rsidRPr="002662F5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DB65B3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El plazo total para la entrega del bien, instalación y puestos en funcionamiento será de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veinte</w:t>
            </w: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20</w:t>
            </w: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) días calendario, bajo el siguiente detalle:</w:t>
            </w:r>
          </w:p>
          <w:p w:rsidR="00CF152C" w:rsidRPr="00DB65B3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CF152C" w:rsidRPr="00DB65B3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• Para que el proveedor entregue los bienes, será de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dieciocho</w:t>
            </w: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1</w:t>
            </w: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8) días calendario, computables a partir del siguiente día hábil de la firma del contrato. Si el último día del plazo de entrega fuera un día no hábil (sábado, domingo o feriado) éste será trasladado al día inmediato hábil.</w:t>
            </w:r>
          </w:p>
          <w:p w:rsidR="00CF152C" w:rsidRPr="00DB65B3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CF152C" w:rsidRPr="00DB65B3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• El proveedor tendrá un plazo de dos (2) días calendario para la instalación y puesta en funcionamiento, computables a partir del día siguiente posterior a la conclusión de la verificación de los componentes.</w:t>
            </w:r>
          </w:p>
          <w:p w:rsidR="00CF152C" w:rsidRPr="004E5E52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2662F5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CF152C" w:rsidRPr="00507C36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6032BE" w:rsidRDefault="00CF152C" w:rsidP="000B226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C2A0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deberá constituir la Garantía de Cumplimiento de Contrato, de acuerdo al D.S. N° 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4C1D54" w:rsidRDefault="00CF152C" w:rsidP="000B2261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presentar previa a la emisión del Acta de Recepción, una garantía de buen funcionamiento de maquinaria y/o equipo, vigente por un periodo de tres (3) años, computable a partir de la fecha del emisión del Acta de Recepción, por un monto del 1.5% del total contratado, debiendo escoger de entre los siguientes tipos: Boleta de Garantía, Garantía a Primer Requerimiento, Póliza de seguro de Caución a Primer Requerimiento o retención del monto correspondiente en caso de que el proveedor lo solicite</w:t>
            </w:r>
            <w:r w:rsidRPr="004C1D54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2662F5" w:rsidTr="000B2261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4C1D54" w:rsidRDefault="00CF152C" w:rsidP="000B2261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152C" w:rsidRPr="009956C4" w:rsidTr="000B226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507C36" w:rsidRDefault="00CF152C" w:rsidP="000B226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F152C" w:rsidRPr="00507C36" w:rsidRDefault="00CF152C" w:rsidP="000B226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F152C" w:rsidRPr="009956C4" w:rsidTr="000B226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F152C" w:rsidRPr="009956C4" w:rsidRDefault="00CF152C" w:rsidP="000B226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F152C" w:rsidRPr="009956C4" w:rsidTr="000B226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152C" w:rsidRPr="009956C4" w:rsidRDefault="00CF152C" w:rsidP="00CF152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152C" w:rsidRPr="009956C4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F152C" w:rsidRPr="009956C4" w:rsidTr="000B2261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  <w:tr w:rsidR="00CF152C" w:rsidRPr="009956C4" w:rsidTr="000B2261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2B98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Hugo Hidalgo Huaras 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152C" w:rsidRPr="00A92B98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2B98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Electricista de Seguridad y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F152C" w:rsidRPr="00A92B98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92B98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  <w:tr w:rsidR="00CF152C" w:rsidRPr="002662F5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2662F5" w:rsidRDefault="00CF152C" w:rsidP="000B226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2662F5" w:rsidRDefault="00CF152C" w:rsidP="000B226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152C" w:rsidRPr="009956C4" w:rsidTr="000B2261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Default="00CF152C" w:rsidP="000B2261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CF152C" w:rsidRPr="00BF6B49" w:rsidRDefault="00CF152C" w:rsidP="000B2261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52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CF152C" w:rsidRPr="00A92B98" w:rsidRDefault="00CF152C" w:rsidP="000B226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</w:rPr>
              <w:t>4575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A92B98" w:rsidRDefault="00CF152C" w:rsidP="000B226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CF152C" w:rsidRPr="00A92B98" w:rsidRDefault="00CF152C" w:rsidP="000B226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CF152C" w:rsidRPr="00A92B98" w:rsidRDefault="00CF152C" w:rsidP="000B2261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hhuaras</w:t>
            </w:r>
            <w:r w:rsidRPr="00BF6B49">
              <w:rPr>
                <w:rStyle w:val="Hipervnculo"/>
                <w:rFonts w:ascii="Arial" w:hAnsi="Arial" w:cs="Arial"/>
                <w:szCs w:val="14"/>
              </w:rPr>
              <w:t>@bcb.gob.bo</w:t>
            </w:r>
          </w:p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152C" w:rsidRPr="009956C4" w:rsidRDefault="00CF152C" w:rsidP="000B2261">
            <w:pPr>
              <w:rPr>
                <w:rFonts w:ascii="Arial" w:hAnsi="Arial" w:cs="Arial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402294" w:rsidRDefault="00CF152C" w:rsidP="000B226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A909E5" w:rsidRDefault="00CF152C" w:rsidP="000B226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CF152C" w:rsidRPr="009956C4" w:rsidRDefault="00CF152C" w:rsidP="000B226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152C" w:rsidRPr="009956C4" w:rsidTr="000B226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F152C" w:rsidRPr="009956C4" w:rsidRDefault="00CF152C" w:rsidP="000B226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F152C" w:rsidRPr="009956C4" w:rsidRDefault="00CF152C" w:rsidP="00CF152C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CF152C" w:rsidRPr="00DF1D1E" w:rsidRDefault="00CF152C" w:rsidP="00CF152C">
      <w:pPr>
        <w:jc w:val="right"/>
        <w:rPr>
          <w:rFonts w:ascii="Arial" w:hAnsi="Arial" w:cs="Arial"/>
          <w:sz w:val="12"/>
          <w:lang w:val="es-BO"/>
        </w:rPr>
      </w:pPr>
    </w:p>
    <w:p w:rsidR="00CF152C" w:rsidRPr="009956C4" w:rsidRDefault="00CF152C" w:rsidP="00CF152C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F152C" w:rsidRPr="00DF1D1E" w:rsidRDefault="00CF152C" w:rsidP="00CF152C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CF152C" w:rsidRPr="009956C4" w:rsidTr="000B226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F152C" w:rsidRPr="009956C4" w:rsidTr="000B226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B22D02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AA247B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AA247B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AA247B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543012" w:rsidRDefault="00CF152C" w:rsidP="000B226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9E7F5A" w:rsidRDefault="00CF152C" w:rsidP="000B226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CF152C" w:rsidRPr="009E7F5A" w:rsidRDefault="00CF152C" w:rsidP="00CF152C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F152C" w:rsidRPr="002662F5" w:rsidRDefault="00CF152C" w:rsidP="000B226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152C" w:rsidRPr="009956C4" w:rsidTr="000B226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2662F5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2662F5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2662F5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6F7EE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152C" w:rsidRPr="009956C4" w:rsidTr="000B226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  <w:r w:rsidRPr="00234960">
              <w:rPr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FD7E8D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FD7E8D" w:rsidRDefault="00CF152C" w:rsidP="000B226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CF152C" w:rsidRPr="008F3510" w:rsidRDefault="00CF152C" w:rsidP="000B22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  <w:lang w:val="es-BO" w:eastAsia="en-US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hyperlink r:id="rId8" w:history="1">
              <w:r w:rsidRPr="008F3510">
                <w:rPr>
                  <w:rStyle w:val="Hipervnculo"/>
                  <w:rFonts w:cs="Calibri"/>
                  <w:color w:val="000000"/>
                  <w:sz w:val="12"/>
                  <w:szCs w:val="12"/>
                </w:rPr>
                <w:t>https://bcb-gob-bo.zoom.us/j/88210127661?pwd=Si9TNGFhcGhtTCtzd3FldDY1L1F2UT09</w:t>
              </w:r>
            </w:hyperlink>
          </w:p>
          <w:p w:rsidR="00CF152C" w:rsidRPr="00A71AAC" w:rsidRDefault="00CF152C" w:rsidP="000B2261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CF152C" w:rsidRPr="00A71AAC" w:rsidRDefault="00CF152C" w:rsidP="000B2261">
            <w:pPr>
              <w:rPr>
                <w:rFonts w:ascii="Arial" w:hAnsi="Arial" w:cs="Arial"/>
                <w:sz w:val="12"/>
                <w:szCs w:val="12"/>
              </w:rPr>
            </w:pPr>
            <w:r w:rsidRPr="00A71AAC">
              <w:rPr>
                <w:rFonts w:ascii="Arial" w:hAnsi="Arial" w:cs="Arial"/>
                <w:sz w:val="12"/>
                <w:szCs w:val="12"/>
              </w:rPr>
              <w:t xml:space="preserve">ID de reunión: </w:t>
            </w:r>
            <w:r>
              <w:rPr>
                <w:rFonts w:cs="Calibri"/>
              </w:rPr>
              <w:t>882 1012 7661</w:t>
            </w:r>
          </w:p>
          <w:p w:rsidR="00CF152C" w:rsidRPr="00543012" w:rsidRDefault="00CF152C" w:rsidP="000B2261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A71AAC">
              <w:rPr>
                <w:rFonts w:ascii="Arial" w:hAnsi="Arial" w:cs="Arial"/>
                <w:sz w:val="12"/>
                <w:szCs w:val="12"/>
              </w:rPr>
              <w:t xml:space="preserve">Código de acceso: </w:t>
            </w:r>
            <w:r>
              <w:rPr>
                <w:rFonts w:cs="Calibri"/>
              </w:rPr>
              <w:t>812984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152C" w:rsidRPr="009956C4" w:rsidTr="000B226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9956C4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9956C4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9956C4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A244D6" w:rsidTr="000B226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152C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CF152C" w:rsidRPr="00A244D6" w:rsidRDefault="00CF152C" w:rsidP="000B226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152C" w:rsidRPr="00A244D6" w:rsidTr="000B226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152C" w:rsidRPr="00A244D6" w:rsidRDefault="00CF152C" w:rsidP="000B226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152C" w:rsidRPr="00A244D6" w:rsidRDefault="00CF152C" w:rsidP="000B226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152C" w:rsidRPr="00234960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34960">
              <w:rPr>
                <w:rFonts w:ascii="Arial" w:hAnsi="Arial" w:cs="Arial"/>
                <w:sz w:val="12"/>
                <w:szCs w:val="12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A244D6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152C" w:rsidRPr="00DF1D1E" w:rsidTr="000B226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152C" w:rsidRPr="00DF1D1E" w:rsidRDefault="00CF152C" w:rsidP="000B226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152C" w:rsidRPr="00DF1D1E" w:rsidRDefault="00CF152C" w:rsidP="000B226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152C" w:rsidRPr="00DF1D1E" w:rsidRDefault="00CF152C" w:rsidP="000B226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152C" w:rsidRPr="00DF1D1E" w:rsidRDefault="00CF152C" w:rsidP="000B226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F152C" w:rsidRPr="00A244D6" w:rsidRDefault="00CF152C" w:rsidP="00CF152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F152C" w:rsidRDefault="00CF152C" w:rsidP="00CF152C">
      <w:pPr>
        <w:jc w:val="center"/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CF1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A"/>
    <w:rsid w:val="000766D2"/>
    <w:rsid w:val="006937FA"/>
    <w:rsid w:val="00C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77F5-A4DA-4BC5-B4E6-A8A902C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F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6937F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937F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937F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937F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6937F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937F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937F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937F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937F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6937F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937F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937F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937F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37F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937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937F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937F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937F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6937F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6937F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937F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937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9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7F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9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7F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6937F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6937F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6937F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937F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937F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937F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937F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937F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937F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6937F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937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937F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6937F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93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6937F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937F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937F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937F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937F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937F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937F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6937F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6937F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6937F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937F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937F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937F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937F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937FA"/>
    <w:rPr>
      <w:vertAlign w:val="superscript"/>
    </w:rPr>
  </w:style>
  <w:style w:type="paragraph" w:customStyle="1" w:styleId="BodyText21">
    <w:name w:val="Body Text 21"/>
    <w:basedOn w:val="Normal"/>
    <w:rsid w:val="006937F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937F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937F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937FA"/>
  </w:style>
  <w:style w:type="paragraph" w:customStyle="1" w:styleId="Document1">
    <w:name w:val="Document 1"/>
    <w:rsid w:val="006937F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937F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937F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937F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937F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937F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937F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6937F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6937F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937F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937F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937F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937F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937F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6937F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937F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937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937F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937F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937F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937F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937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937F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937F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937F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937F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937F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937F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3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6937FA"/>
  </w:style>
  <w:style w:type="numbering" w:customStyle="1" w:styleId="Sinlista1">
    <w:name w:val="Sin lista1"/>
    <w:next w:val="Sinlista"/>
    <w:uiPriority w:val="99"/>
    <w:semiHidden/>
    <w:unhideWhenUsed/>
    <w:rsid w:val="006937FA"/>
  </w:style>
  <w:style w:type="character" w:styleId="nfasissutil">
    <w:name w:val="Subtle Emphasis"/>
    <w:uiPriority w:val="19"/>
    <w:qFormat/>
    <w:rsid w:val="006937FA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6937FA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6937FA"/>
  </w:style>
  <w:style w:type="table" w:customStyle="1" w:styleId="Tablaconcuadrcula5">
    <w:name w:val="Tabla con cuadrícula5"/>
    <w:basedOn w:val="Tablanormal"/>
    <w:next w:val="Tablaconcuadrcula"/>
    <w:uiPriority w:val="3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6937F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6937FA"/>
  </w:style>
  <w:style w:type="paragraph" w:styleId="Lista">
    <w:name w:val="List"/>
    <w:basedOn w:val="Normal"/>
    <w:uiPriority w:val="99"/>
    <w:unhideWhenUsed/>
    <w:rsid w:val="006937FA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6937FA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6937FA"/>
    <w:pPr>
      <w:numPr>
        <w:numId w:val="8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6937FA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937FA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937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9">
    <w:name w:val="xl29"/>
    <w:basedOn w:val="Normal"/>
    <w:rsid w:val="00693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6937F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6937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6937FA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6937FA"/>
  </w:style>
  <w:style w:type="table" w:customStyle="1" w:styleId="Tablaconcuadrcula8">
    <w:name w:val="Tabla con cuadrícula8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6937FA"/>
  </w:style>
  <w:style w:type="table" w:customStyle="1" w:styleId="Tablaconcuadrcula9">
    <w:name w:val="Tabla con cuadrícula9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6937FA"/>
  </w:style>
  <w:style w:type="table" w:customStyle="1" w:styleId="Tablaconcuadrcula10">
    <w:name w:val="Tabla con cuadrícula10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6937FA"/>
  </w:style>
  <w:style w:type="paragraph" w:styleId="HTMLconformatoprevio">
    <w:name w:val="HTML Preformatted"/>
    <w:basedOn w:val="Normal"/>
    <w:link w:val="HTMLconformatoprevioCar"/>
    <w:uiPriority w:val="99"/>
    <w:unhideWhenUsed/>
    <w:rsid w:val="00693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37FA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6937FA"/>
  </w:style>
  <w:style w:type="character" w:customStyle="1" w:styleId="A0">
    <w:name w:val="A0"/>
    <w:uiPriority w:val="99"/>
    <w:rsid w:val="006937FA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6937FA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937FA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6937FA"/>
  </w:style>
  <w:style w:type="paragraph" w:customStyle="1" w:styleId="Pa1">
    <w:name w:val="Pa1"/>
    <w:basedOn w:val="Default"/>
    <w:next w:val="Default"/>
    <w:uiPriority w:val="99"/>
    <w:rsid w:val="006937FA"/>
    <w:pPr>
      <w:spacing w:line="181" w:lineRule="atLeast"/>
    </w:pPr>
    <w:rPr>
      <w:rFonts w:ascii="Gotham Book" w:hAnsi="Gotham Book" w:cs="Times New Roman"/>
      <w:color w:val="auto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8210127661?pwd=Si9TNGFhcGhtTCtzd3FldDY1L1F2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cp:lastPrinted>2023-09-29T16:43:00Z</cp:lastPrinted>
  <dcterms:created xsi:type="dcterms:W3CDTF">2023-10-20T19:04:00Z</dcterms:created>
  <dcterms:modified xsi:type="dcterms:W3CDTF">2023-10-20T19:04:00Z</dcterms:modified>
</cp:coreProperties>
</file>