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Default="001546F4" w:rsidP="001546F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B613DA" w:rsidRPr="006876A4" w:rsidRDefault="00B613DA" w:rsidP="00B613DA">
      <w:pPr>
        <w:jc w:val="both"/>
        <w:rPr>
          <w:rFonts w:cs="Arial"/>
          <w:sz w:val="14"/>
          <w:szCs w:val="18"/>
          <w:lang w:val="es-BO"/>
        </w:rPr>
      </w:pPr>
    </w:p>
    <w:p w:rsidR="00B613DA" w:rsidRDefault="00B613DA" w:rsidP="00B613DA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BB19A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CONTRATACIÓN</w:t>
      </w:r>
      <w:bookmarkEnd w:id="0"/>
    </w:p>
    <w:p w:rsidR="00B613DA" w:rsidRPr="006876A4" w:rsidRDefault="00B613DA" w:rsidP="00B613DA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B613DA" w:rsidRPr="009956C4" w:rsidTr="006339B5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613DA" w:rsidRPr="009956C4" w:rsidRDefault="00B613DA" w:rsidP="00B613D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613DA" w:rsidRPr="006876A4" w:rsidTr="006339B5">
        <w:tc>
          <w:tcPr>
            <w:tcW w:w="9449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6876A4" w:rsidRDefault="00B613DA" w:rsidP="006339B5">
            <w:pPr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</w:tr>
      <w:tr w:rsidR="00B613DA" w:rsidRPr="00331652" w:rsidTr="006339B5">
        <w:trPr>
          <w:trHeight w:val="279"/>
        </w:trPr>
        <w:tc>
          <w:tcPr>
            <w:tcW w:w="18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331652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F44C6B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  <w:r w:rsidRPr="00F44C6B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613DA" w:rsidRPr="00331652" w:rsidTr="006339B5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13DA" w:rsidRPr="00331652" w:rsidTr="006339B5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331652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Apoyo Nacional a la Producción y Empleo – ANPE</w:t>
            </w:r>
          </w:p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33165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 xml:space="preserve">ANPE – P Nº </w:t>
            </w:r>
            <w:r>
              <w:rPr>
                <w:rFonts w:ascii="Arial" w:hAnsi="Arial" w:cs="Arial"/>
                <w:lang w:val="es-BO"/>
              </w:rPr>
              <w:t>100</w:t>
            </w:r>
            <w:r w:rsidRPr="00331652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 – 1</w:t>
            </w:r>
            <w:r w:rsidRPr="00331652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613DA" w:rsidRPr="00331652" w:rsidTr="006339B5">
        <w:trPr>
          <w:trHeight w:val="223"/>
        </w:trPr>
        <w:tc>
          <w:tcPr>
            <w:tcW w:w="181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13DA" w:rsidRPr="00331652" w:rsidRDefault="00B613DA" w:rsidP="006339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613DA" w:rsidRPr="00331652" w:rsidTr="006339B5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B613DA" w:rsidRPr="00331652" w:rsidTr="006339B5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3DA" w:rsidRPr="00331652" w:rsidRDefault="00B613DA" w:rsidP="006339B5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3DA" w:rsidRPr="00331652" w:rsidRDefault="00B613DA" w:rsidP="006339B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3DA" w:rsidRPr="00331652" w:rsidRDefault="00B613DA" w:rsidP="006339B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3DA" w:rsidRPr="00331652" w:rsidRDefault="00B613DA" w:rsidP="006339B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13DA" w:rsidRPr="00331652" w:rsidTr="006339B5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B613DA" w:rsidRPr="00331652" w:rsidRDefault="00B613DA" w:rsidP="00B613DA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B613DA" w:rsidRPr="00331652" w:rsidTr="006339B5"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13DA" w:rsidRPr="00331652" w:rsidTr="006339B5">
        <w:trPr>
          <w:trHeight w:val="433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PROVISION DE CAMARAS DE VIDEOVIGILANCIA PARA ATENDER REQUERIMIENTOS OPERATIVOS EN LOS AMBIENTES DE TESORERIA 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331652" w:rsidTr="006339B5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B613DA" w:rsidRPr="00331652" w:rsidTr="006339B5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613DA" w:rsidRPr="00331652" w:rsidTr="006339B5">
        <w:trPr>
          <w:trHeight w:val="20"/>
        </w:trPr>
        <w:tc>
          <w:tcPr>
            <w:tcW w:w="187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613DA" w:rsidRPr="00331652" w:rsidTr="006339B5">
        <w:trPr>
          <w:trHeight w:val="210"/>
        </w:trPr>
        <w:tc>
          <w:tcPr>
            <w:tcW w:w="187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613DA" w:rsidRPr="00331652" w:rsidTr="006339B5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B613DA" w:rsidRPr="00331652" w:rsidTr="006339B5">
        <w:trPr>
          <w:trHeight w:val="209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33165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331652" w:rsidTr="006339B5"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B613DA" w:rsidRPr="00331652" w:rsidTr="006339B5">
        <w:trPr>
          <w:trHeight w:val="322"/>
        </w:trPr>
        <w:tc>
          <w:tcPr>
            <w:tcW w:w="1872" w:type="dxa"/>
            <w:tcBorders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C60C5">
              <w:rPr>
                <w:rFonts w:ascii="Arial" w:hAnsi="Arial" w:cs="Arial"/>
                <w:b/>
                <w:sz w:val="14"/>
                <w:lang w:val="es-419"/>
              </w:rPr>
              <w:t>Bs</w:t>
            </w:r>
            <w:r>
              <w:rPr>
                <w:rFonts w:ascii="Arial" w:hAnsi="Arial" w:cs="Arial"/>
                <w:b/>
                <w:sz w:val="14"/>
                <w:lang w:val="es-419"/>
              </w:rPr>
              <w:t xml:space="preserve"> 229.996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,00 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B613DA" w:rsidRPr="00331652" w:rsidTr="006339B5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B613DA" w:rsidRPr="00331652" w:rsidTr="006339B5">
        <w:trPr>
          <w:trHeight w:val="240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613DA" w:rsidRPr="00331652" w:rsidTr="006339B5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613DA" w:rsidRPr="00331652" w:rsidTr="006339B5">
        <w:trPr>
          <w:trHeight w:val="440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>
              <w:rPr>
                <w:rFonts w:ascii="Arial" w:hAnsi="Arial" w:cs="Arial"/>
                <w:lang w:eastAsia="zh-CN"/>
              </w:rPr>
              <w:t>El plazo total para la entrega de los bienes será hasta de 45 días calendario,  computables a partir del siguiente día hábil de la firma del contrato.</w:t>
            </w:r>
            <w:r w:rsidRPr="00C93B4A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319" w:type="dxa"/>
            <w:vMerge/>
            <w:tcBorders>
              <w:left w:val="single" w:sz="2" w:space="0" w:color="1F4E79" w:themeColor="accent1" w:themeShade="80"/>
              <w:bottom w:val="nil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331652" w:rsidTr="006339B5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331652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B613DA" w:rsidRPr="00331652" w:rsidTr="006339B5">
        <w:trPr>
          <w:trHeight w:val="440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B613DA" w:rsidRPr="00F44C6B" w:rsidRDefault="00B613DA" w:rsidP="006339B5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F44C6B">
              <w:rPr>
                <w:rFonts w:ascii="Arial" w:hAnsi="Arial" w:cs="Arial"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1F4E79" w:themeColor="accent1" w:themeShade="80"/>
              <w:bottom w:val="nil"/>
              <w:right w:val="single" w:sz="12" w:space="0" w:color="1F4E79" w:themeColor="accent1" w:themeShade="80"/>
            </w:tcBorders>
          </w:tcPr>
          <w:p w:rsidR="00B613DA" w:rsidRPr="00331652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6876A4" w:rsidTr="006339B5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6876A4" w:rsidRDefault="00B613DA" w:rsidP="006339B5">
            <w:pPr>
              <w:jc w:val="right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F44C6B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1F4E79" w:themeColor="accent1" w:themeShade="80"/>
            </w:tcBorders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B613DA" w:rsidRPr="009956C4" w:rsidTr="006339B5">
        <w:trPr>
          <w:trHeight w:val="578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B613DA" w:rsidRPr="006876A4" w:rsidRDefault="00B613DA" w:rsidP="006339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B613DA" w:rsidRPr="00F44C6B" w:rsidRDefault="00B613DA" w:rsidP="006339B5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F44C6B">
              <w:rPr>
                <w:rFonts w:ascii="Arial" w:hAnsi="Arial" w:cs="Arial"/>
                <w:sz w:val="14"/>
                <w:lang w:val="es-BO"/>
              </w:rPr>
              <w:t>El proponente adjudicado deberá constituir una Garantía de Cumplimiento de Contrato equivalente al 7% del monto del contrato.</w:t>
            </w:r>
          </w:p>
        </w:tc>
        <w:tc>
          <w:tcPr>
            <w:tcW w:w="319" w:type="dxa"/>
            <w:vMerge/>
            <w:tcBorders>
              <w:left w:val="single" w:sz="2" w:space="0" w:color="1F4E79" w:themeColor="accent1" w:themeShade="80"/>
              <w:bottom w:val="nil"/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6876A4" w:rsidTr="006339B5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6876A4" w:rsidRDefault="00B613DA" w:rsidP="006339B5">
            <w:pPr>
              <w:jc w:val="right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B613DA" w:rsidRPr="00F44C6B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1F4E79" w:themeColor="accent1" w:themeShade="80"/>
            </w:tcBorders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B613DA" w:rsidRPr="009956C4" w:rsidTr="006339B5">
        <w:trPr>
          <w:trHeight w:val="564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B613DA" w:rsidRPr="00F44C6B" w:rsidRDefault="00B613DA" w:rsidP="006339B5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F44C6B">
              <w:rPr>
                <w:rFonts w:ascii="Arial" w:hAnsi="Arial" w:cs="Arial"/>
                <w:sz w:val="14"/>
                <w:lang w:val="es-BO"/>
              </w:rPr>
              <w:t>El proveedor deberá constituir la Garantía de Funcionamiento de Maquinaria y/o Equipo que será del 1.5% del monto del contrato, por un periodo de 3 años  y 1 mes, computable a partir de la emisión del Acta de Recepción.</w:t>
            </w:r>
          </w:p>
        </w:tc>
        <w:tc>
          <w:tcPr>
            <w:tcW w:w="319" w:type="dxa"/>
            <w:vMerge/>
            <w:tcBorders>
              <w:left w:val="single" w:sz="2" w:space="0" w:color="1F4E79" w:themeColor="accent1" w:themeShade="80"/>
              <w:bottom w:val="nil"/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6876A4" w:rsidTr="006339B5"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B613DA" w:rsidRPr="009956C4" w:rsidTr="006339B5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784A03" w:rsidRDefault="00B613DA" w:rsidP="006339B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B613DA" w:rsidRPr="009956C4" w:rsidTr="006339B5">
        <w:tc>
          <w:tcPr>
            <w:tcW w:w="193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3DA" w:rsidRPr="009956C4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613DA" w:rsidRPr="009956C4" w:rsidTr="006339B5">
        <w:tc>
          <w:tcPr>
            <w:tcW w:w="193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lang w:val="es-BO"/>
              </w:rPr>
              <w:t xml:space="preserve">Presupuesto de la próxima gestión para bienes recurrentes </w:t>
            </w:r>
            <w:r w:rsidRPr="0031423B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B613DA" w:rsidRPr="0031423B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9956C4" w:rsidTr="006339B5">
        <w:tc>
          <w:tcPr>
            <w:tcW w:w="193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B613DA" w:rsidRPr="0031423B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B613DA" w:rsidRPr="0031423B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9956C4" w:rsidTr="006339B5">
        <w:tc>
          <w:tcPr>
            <w:tcW w:w="193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13DA" w:rsidRPr="0031423B" w:rsidRDefault="00B613DA" w:rsidP="006339B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31423B">
              <w:rPr>
                <w:rFonts w:ascii="Arial" w:hAnsi="Arial" w:cs="Arial"/>
                <w:sz w:val="12"/>
                <w:szCs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B613DA" w:rsidRPr="0031423B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9956C4" w:rsidTr="006339B5">
        <w:trPr>
          <w:trHeight w:val="209"/>
        </w:trPr>
        <w:tc>
          <w:tcPr>
            <w:tcW w:w="193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B613DA" w:rsidRPr="009956C4" w:rsidTr="006339B5">
        <w:tc>
          <w:tcPr>
            <w:tcW w:w="1592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B613DA" w:rsidRPr="00331652" w:rsidRDefault="00B613DA" w:rsidP="006339B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9956C4" w:rsidTr="006339B5">
        <w:trPr>
          <w:trHeight w:val="206"/>
        </w:trPr>
        <w:tc>
          <w:tcPr>
            <w:tcW w:w="159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3" w:type="dxa"/>
            <w:gridSpan w:val="15"/>
            <w:vMerge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2" w:type="dxa"/>
            <w:tcBorders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9956C4" w:rsidTr="006339B5">
        <w:trPr>
          <w:trHeight w:val="266"/>
        </w:trPr>
        <w:tc>
          <w:tcPr>
            <w:tcW w:w="159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613DA" w:rsidRPr="009956C4" w:rsidRDefault="00B613DA" w:rsidP="006339B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13DA" w:rsidRPr="006876A4" w:rsidTr="006339B5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13DA" w:rsidRPr="009956C4" w:rsidTr="006339B5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613DA" w:rsidRPr="009956C4" w:rsidRDefault="00B613DA" w:rsidP="00B613D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613DA" w:rsidRPr="009956C4" w:rsidTr="006339B5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9956C4" w:rsidRDefault="00B613DA" w:rsidP="006339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13DA" w:rsidRPr="009956C4" w:rsidTr="006339B5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 xml:space="preserve">08:00 a </w:t>
            </w:r>
            <w:r>
              <w:rPr>
                <w:rFonts w:ascii="Arial" w:hAnsi="Arial" w:cs="Arial"/>
                <w:lang w:val="es-BO"/>
              </w:rPr>
              <w:t>16</w:t>
            </w:r>
            <w:r w:rsidRPr="00331652">
              <w:rPr>
                <w:rFonts w:ascii="Arial" w:hAnsi="Arial" w:cs="Arial"/>
                <w:lang w:val="es-BO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lang w:val="es-BO"/>
              </w:rPr>
            </w:pPr>
          </w:p>
        </w:tc>
      </w:tr>
      <w:tr w:rsidR="00B613DA" w:rsidRPr="009956C4" w:rsidTr="006339B5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13DA" w:rsidRPr="009956C4" w:rsidTr="006339B5">
        <w:trPr>
          <w:trHeight w:val="66"/>
        </w:trPr>
        <w:tc>
          <w:tcPr>
            <w:tcW w:w="1592" w:type="dxa"/>
            <w:tcBorders>
              <w:left w:val="single" w:sz="12" w:space="0" w:color="1F4E79" w:themeColor="accent1" w:themeShade="80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B613DA" w:rsidRPr="009956C4" w:rsidRDefault="00B613DA" w:rsidP="006339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B613DA" w:rsidRPr="00331652" w:rsidRDefault="00B613DA" w:rsidP="006339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613DA" w:rsidRPr="00331652" w:rsidRDefault="00B613DA" w:rsidP="006339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31652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4" w:type="dxa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31652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613DA" w:rsidRPr="009956C4" w:rsidTr="006339B5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Encargado de atender consultas</w:t>
            </w:r>
          </w:p>
          <w:p w:rsidR="00B613DA" w:rsidRPr="00331652" w:rsidRDefault="00B613DA" w:rsidP="006339B5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Luis Mauricio Troche Garcia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331652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lang w:val="es-BO"/>
              </w:rPr>
            </w:pPr>
          </w:p>
        </w:tc>
      </w:tr>
      <w:tr w:rsidR="00B613DA" w:rsidRPr="009956C4" w:rsidTr="006339B5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331652" w:rsidRDefault="00B613DA" w:rsidP="006339B5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8A407F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  <w:r w:rsidRPr="008A407F">
              <w:rPr>
                <w:rFonts w:ascii="Arial" w:hAnsi="Arial" w:cs="Arial"/>
                <w:lang w:val="es-BO"/>
              </w:rPr>
              <w:t>Carlos Gustavo Olmos Rosas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613DA" w:rsidRPr="008A407F" w:rsidRDefault="00B613DA" w:rsidP="006339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8A407F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  <w:r w:rsidRPr="008A407F">
              <w:rPr>
                <w:rFonts w:ascii="Arial" w:hAnsi="Arial" w:cs="Arial"/>
                <w:lang w:val="es-BO" w:eastAsia="es-BO"/>
              </w:rPr>
              <w:t>Técnico de Seguridad de Tesorería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613DA" w:rsidRPr="008A407F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8A407F" w:rsidRDefault="00B613DA" w:rsidP="006339B5">
            <w:pPr>
              <w:jc w:val="center"/>
              <w:rPr>
                <w:rFonts w:ascii="Arial" w:hAnsi="Arial" w:cs="Arial"/>
                <w:lang w:val="es-BO"/>
              </w:rPr>
            </w:pPr>
            <w:r w:rsidRPr="008A407F">
              <w:rPr>
                <w:rFonts w:ascii="Arial" w:hAnsi="Arial" w:cs="Arial"/>
                <w:lang w:val="es-BO"/>
              </w:rPr>
              <w:t xml:space="preserve">Departamento de Seguridad de </w:t>
            </w:r>
            <w:proofErr w:type="spellStart"/>
            <w:r w:rsidRPr="008A407F">
              <w:rPr>
                <w:rFonts w:ascii="Arial" w:hAnsi="Arial" w:cs="Arial"/>
                <w:lang w:val="es-BO"/>
              </w:rPr>
              <w:t>Tesoreria</w:t>
            </w:r>
            <w:proofErr w:type="spellEnd"/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lang w:val="es-BO"/>
              </w:rPr>
            </w:pPr>
          </w:p>
        </w:tc>
      </w:tr>
      <w:tr w:rsidR="00B613DA" w:rsidRPr="006876A4" w:rsidTr="006339B5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13DA" w:rsidRPr="009956C4" w:rsidTr="006339B5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B514BE" w:rsidRDefault="00B613DA" w:rsidP="006339B5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2409090 Internos:</w:t>
            </w:r>
          </w:p>
          <w:p w:rsidR="00B613DA" w:rsidRPr="00B514BE" w:rsidRDefault="00B613DA" w:rsidP="006339B5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47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52 </w:t>
            </w: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Administrativas)</w:t>
            </w:r>
          </w:p>
          <w:p w:rsidR="00B613DA" w:rsidRPr="009956C4" w:rsidRDefault="00B613DA" w:rsidP="006339B5">
            <w:pPr>
              <w:rPr>
                <w:rFonts w:ascii="Arial" w:hAnsi="Arial" w:cs="Arial"/>
                <w:lang w:val="es-BO"/>
              </w:rPr>
            </w:pPr>
            <w:r w:rsidRPr="008A407F">
              <w:rPr>
                <w:rFonts w:ascii="Arial" w:hAnsi="Arial" w:cs="Arial"/>
                <w:sz w:val="14"/>
                <w:szCs w:val="14"/>
                <w:lang w:val="es-BO" w:eastAsia="es-BO"/>
              </w:rPr>
              <w:t>4573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DA" w:rsidRPr="009956C4" w:rsidRDefault="00B613DA" w:rsidP="006339B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9956C4" w:rsidRDefault="00B613DA" w:rsidP="006339B5">
            <w:pPr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49518E" w:rsidRDefault="00B613DA" w:rsidP="006339B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7629E3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ltroche@bcb.gob.bo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B613DA" w:rsidRPr="005600F0" w:rsidRDefault="00B613DA" w:rsidP="006339B5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B613DA" w:rsidRPr="008A407F" w:rsidRDefault="00B613DA" w:rsidP="006339B5">
            <w:pPr>
              <w:jc w:val="both"/>
              <w:rPr>
                <w:rStyle w:val="Hipervnculo"/>
                <w:lang w:val="pt-BR"/>
              </w:rPr>
            </w:pPr>
            <w:hyperlink r:id="rId6" w:history="1">
              <w:r w:rsidRPr="00D10D36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colmos@bcb.gob.bo</w:t>
              </w:r>
            </w:hyperlink>
          </w:p>
          <w:p w:rsidR="00B613DA" w:rsidRPr="009956C4" w:rsidRDefault="00B613DA" w:rsidP="006339B5">
            <w:pPr>
              <w:jc w:val="both"/>
              <w:rPr>
                <w:rFonts w:ascii="Arial" w:hAnsi="Arial" w:cs="Arial"/>
                <w:lang w:val="es-BO"/>
              </w:rPr>
            </w:pPr>
            <w:r w:rsidRPr="008A407F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lang w:val="es-BO"/>
              </w:rPr>
            </w:pPr>
          </w:p>
        </w:tc>
      </w:tr>
      <w:tr w:rsidR="00B613DA" w:rsidRPr="006876A4" w:rsidTr="006339B5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6876A4" w:rsidRDefault="00B613DA" w:rsidP="006339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B613DA" w:rsidRPr="009956C4" w:rsidTr="006339B5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13DA" w:rsidRPr="009956C4" w:rsidRDefault="00B613DA" w:rsidP="006339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Default="00B613DA" w:rsidP="0063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B613DA" w:rsidRDefault="00B613DA" w:rsidP="0063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B613DA" w:rsidRDefault="00B613DA" w:rsidP="0063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B613DA" w:rsidRPr="00B53080" w:rsidRDefault="00B613DA" w:rsidP="006339B5">
            <w:pPr>
              <w:rPr>
                <w:rFonts w:ascii="Arial" w:hAnsi="Arial" w:cs="Arial"/>
                <w:color w:val="000099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13DA" w:rsidRPr="009956C4" w:rsidRDefault="00B613DA" w:rsidP="006339B5">
            <w:pPr>
              <w:rPr>
                <w:rFonts w:ascii="Arial" w:hAnsi="Arial" w:cs="Arial"/>
                <w:lang w:val="es-BO"/>
              </w:rPr>
            </w:pPr>
          </w:p>
        </w:tc>
      </w:tr>
      <w:tr w:rsidR="00B613DA" w:rsidRPr="00967208" w:rsidTr="006339B5">
        <w:tc>
          <w:tcPr>
            <w:tcW w:w="1592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auto"/>
            <w:vAlign w:val="center"/>
          </w:tcPr>
          <w:p w:rsidR="00B613DA" w:rsidRPr="00967208" w:rsidRDefault="00B613DA" w:rsidP="006339B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  <w:shd w:val="clear" w:color="auto" w:fill="auto"/>
          </w:tcPr>
          <w:p w:rsidR="00B613DA" w:rsidRPr="00967208" w:rsidRDefault="00B613DA" w:rsidP="006339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1F4E79" w:themeColor="accent1" w:themeShade="80"/>
            </w:tcBorders>
            <w:shd w:val="clear" w:color="auto" w:fill="auto"/>
          </w:tcPr>
          <w:p w:rsidR="00B613DA" w:rsidRPr="00967208" w:rsidRDefault="00B613DA" w:rsidP="006339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1F4E79" w:themeColor="accent1" w:themeShade="80"/>
            </w:tcBorders>
            <w:shd w:val="clear" w:color="auto" w:fill="auto"/>
          </w:tcPr>
          <w:p w:rsidR="00B613DA" w:rsidRPr="00967208" w:rsidRDefault="00B613DA" w:rsidP="006339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shd w:val="clear" w:color="auto" w:fill="auto"/>
          </w:tcPr>
          <w:p w:rsidR="00B613DA" w:rsidRPr="00967208" w:rsidRDefault="00B613DA" w:rsidP="006339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shd w:val="clear" w:color="auto" w:fill="auto"/>
          </w:tcPr>
          <w:p w:rsidR="00B613DA" w:rsidRPr="00967208" w:rsidRDefault="00B613DA" w:rsidP="006339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shd w:val="clear" w:color="auto" w:fill="auto"/>
          </w:tcPr>
          <w:p w:rsidR="00B613DA" w:rsidRPr="00967208" w:rsidRDefault="00B613DA" w:rsidP="006339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</w:tcPr>
          <w:p w:rsidR="00B613DA" w:rsidRPr="00967208" w:rsidRDefault="00B613DA" w:rsidP="006339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B613DA" w:rsidRPr="00B613DA" w:rsidRDefault="00B613DA" w:rsidP="00B613D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  <w:bookmarkStart w:id="1" w:name="_Toc94726526"/>
    </w:p>
    <w:p w:rsidR="00B613DA" w:rsidRDefault="00B613DA" w:rsidP="00B613D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B613DA" w:rsidRPr="00B613DA" w:rsidRDefault="00B613DA" w:rsidP="00B613DA">
      <w:pPr>
        <w:rPr>
          <w:lang w:val="es-BO"/>
        </w:rPr>
      </w:pPr>
    </w:p>
    <w:p w:rsidR="00B613DA" w:rsidRDefault="00B613DA" w:rsidP="00B613D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B613DA" w:rsidRPr="00B613DA" w:rsidRDefault="00B613DA" w:rsidP="00B613DA">
      <w:pPr>
        <w:rPr>
          <w:lang w:val="es-BO"/>
        </w:rPr>
      </w:pPr>
    </w:p>
    <w:p w:rsidR="00B613DA" w:rsidRPr="00B613DA" w:rsidRDefault="00B613DA" w:rsidP="00B613D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B613DA" w:rsidRPr="009956C4" w:rsidRDefault="00B613DA" w:rsidP="00B613DA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B613DA" w:rsidRPr="009956C4" w:rsidRDefault="00B613DA" w:rsidP="00B613DA">
      <w:pPr>
        <w:rPr>
          <w:lang w:val="es-BO"/>
        </w:rPr>
      </w:pPr>
    </w:p>
    <w:p w:rsidR="00B613DA" w:rsidRPr="009956C4" w:rsidRDefault="00B613DA" w:rsidP="00B613DA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B613DA" w:rsidRPr="00967208" w:rsidRDefault="00B613DA" w:rsidP="00B613DA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613DA" w:rsidRPr="009956C4" w:rsidTr="006339B5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613DA" w:rsidRPr="009956C4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613DA" w:rsidRPr="009956C4" w:rsidRDefault="00B613DA" w:rsidP="006339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613DA" w:rsidRPr="009956C4" w:rsidRDefault="00B613DA" w:rsidP="006339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613DA" w:rsidRPr="009956C4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B613DA" w:rsidRPr="00CD1527" w:rsidTr="006339B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CD1527" w:rsidTr="006339B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6B19A6" w:rsidTr="006339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6876A4" w:rsidTr="006339B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6B19A6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777178" w:rsidRDefault="00B613DA" w:rsidP="006339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613DA" w:rsidRPr="006B19A6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06531E" w:rsidTr="006339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06531E" w:rsidTr="006339B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06531E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A756A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</w:p>
          <w:p w:rsidR="00B613DA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Nota dirigida al Gerente de</w:t>
            </w:r>
            <w:r>
              <w:rPr>
                <w:rFonts w:ascii="Arial" w:hAnsi="Arial" w:cs="Arial"/>
                <w:sz w:val="13"/>
                <w:szCs w:val="13"/>
              </w:rPr>
              <w:t xml:space="preserve"> Administración del 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 BCB – RPC:</w:t>
            </w:r>
          </w:p>
          <w:p w:rsidR="00B613DA" w:rsidRPr="004323F3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Planta Baja, Ventanilla Única de Correspondenci</w:t>
            </w:r>
            <w:r>
              <w:rPr>
                <w:rFonts w:ascii="Arial" w:hAnsi="Arial" w:cs="Arial"/>
                <w:sz w:val="13"/>
                <w:szCs w:val="13"/>
              </w:rPr>
              <w:t xml:space="preserve">a del Edif. Principal del BCB. </w:t>
            </w:r>
          </w:p>
          <w:p w:rsidR="00B613DA" w:rsidRPr="004323F3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Al correo electrónico </w:t>
            </w:r>
            <w:hyperlink r:id="rId7" w:history="1">
              <w:r w:rsidRPr="006F0A80">
                <w:rPr>
                  <w:rStyle w:val="Hipervnculo"/>
                  <w:rFonts w:ascii="Arial" w:hAnsi="Arial"/>
                  <w:sz w:val="13"/>
                  <w:szCs w:val="13"/>
                </w:rPr>
                <w:t>ltroche@bcb.gob.bo</w:t>
              </w:r>
            </w:hyperlink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06531E" w:rsidTr="006339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06531E" w:rsidTr="006339B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06531E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A756A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A756A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A756A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A756A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A756A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</w:p>
          <w:p w:rsidR="00B613DA" w:rsidRPr="006E07B1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E07B1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  <w:r w:rsidRPr="006E07B1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B613DA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B613DA" w:rsidRDefault="00B613DA" w:rsidP="006339B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</w:t>
            </w:r>
            <w:r>
              <w:rPr>
                <w:rFonts w:ascii="Arial" w:hAnsi="Arial" w:cs="Arial"/>
                <w:b/>
                <w:sz w:val="13"/>
                <w:szCs w:val="13"/>
              </w:rPr>
              <w:t>virtual</w:t>
            </w:r>
            <w:r w:rsidRPr="004323F3">
              <w:rPr>
                <w:rFonts w:ascii="Arial" w:hAnsi="Arial" w:cs="Arial"/>
                <w:b/>
                <w:sz w:val="13"/>
                <w:szCs w:val="13"/>
              </w:rPr>
              <w:t>:</w:t>
            </w:r>
          </w:p>
          <w:p w:rsidR="00B613DA" w:rsidRDefault="00B613DA" w:rsidP="006339B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C</w:t>
            </w:r>
            <w:r w:rsidRPr="006E07B1">
              <w:rPr>
                <w:rFonts w:ascii="Arial" w:hAnsi="Arial" w:cs="Arial"/>
                <w:sz w:val="13"/>
                <w:szCs w:val="13"/>
              </w:rPr>
              <w:t>onectarse al siguiente enlace a través de ZOOM:</w:t>
            </w:r>
          </w:p>
          <w:p w:rsidR="00B613DA" w:rsidRPr="00C631DE" w:rsidRDefault="00B613DA" w:rsidP="006339B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C631DE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Unirse a la reunión Zoom</w:t>
            </w:r>
          </w:p>
          <w:p w:rsidR="00B613DA" w:rsidRPr="00C631DE" w:rsidRDefault="00B613DA" w:rsidP="006339B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C631DE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https://bcb-gob-bo.zoom.us/j/81166532693?pwd=ckY5Z2hNYS9Gbis1bWZwSjR2Szlmdz09</w:t>
            </w:r>
          </w:p>
          <w:p w:rsidR="00B613DA" w:rsidRPr="00C631DE" w:rsidRDefault="00B613DA" w:rsidP="006339B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</w:p>
          <w:p w:rsidR="00B613DA" w:rsidRPr="001C30AF" w:rsidRDefault="00B613DA" w:rsidP="006339B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1C30AF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 xml:space="preserve">ID de reunión: </w:t>
            </w:r>
            <w:r w:rsidRPr="001C30AF">
              <w:rPr>
                <w:rFonts w:cs="Calibri"/>
              </w:rPr>
              <w:t>882 1290 8899</w:t>
            </w:r>
          </w:p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C30AF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 xml:space="preserve">Código de acceso: </w:t>
            </w:r>
            <w:r w:rsidRPr="001C30AF">
              <w:rPr>
                <w:rFonts w:cs="Calibri"/>
              </w:rPr>
              <w:t>123600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06531E" w:rsidTr="006339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CD1527" w:rsidTr="006339B5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06531E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06531E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A13ED5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756A8">
              <w:rPr>
                <w:rFonts w:ascii="Arial" w:hAnsi="Arial" w:cs="Arial"/>
                <w:sz w:val="14"/>
              </w:rPr>
              <w:t xml:space="preserve">En </w:t>
            </w:r>
            <w:r w:rsidRPr="00A756A8">
              <w:rPr>
                <w:rFonts w:ascii="Arial" w:hAnsi="Arial" w:cs="Arial"/>
                <w:b/>
                <w:sz w:val="14"/>
              </w:rPr>
              <w:t>FORMA ELECTRÓNICA</w:t>
            </w:r>
            <w:r w:rsidRPr="00A756A8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789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97146F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146F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97146F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97146F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7146F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97146F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97146F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  <w:r w:rsidRPr="0097146F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</w:rPr>
              <w:t>zoom</w:t>
            </w:r>
            <w:r w:rsidRPr="00CD1527">
              <w:rPr>
                <w:rFonts w:ascii="Arial" w:hAnsi="Arial" w:cs="Arial"/>
              </w:rPr>
              <w:t xml:space="preserve">: </w:t>
            </w:r>
          </w:p>
          <w:p w:rsidR="00B613DA" w:rsidRPr="0031423B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B613DA" w:rsidRPr="00794F3B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794F3B">
              <w:rPr>
                <w:rFonts w:ascii="Arial" w:hAnsi="Arial" w:cs="Arial"/>
                <w:lang w:val="es-BO"/>
              </w:rPr>
              <w:t>Unirse a la reunión Zoom</w:t>
            </w:r>
          </w:p>
          <w:p w:rsidR="00B613DA" w:rsidRPr="001C30AF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8" w:history="1">
              <w:r w:rsidRPr="001C30AF">
                <w:rPr>
                  <w:rStyle w:val="Hipervnculo"/>
                  <w:rFonts w:ascii="Arial" w:hAnsi="Arial" w:cs="Arial"/>
                  <w:lang w:val="es-BO"/>
                </w:rPr>
                <w:t>https://bcb-gob-bo.zoom.us/j/88332327924?pwd=RFdlZTZGRVVpM0lKOWJSYjd2dkdsUT09</w:t>
              </w:r>
            </w:hyperlink>
          </w:p>
          <w:p w:rsidR="00B613DA" w:rsidRPr="00510817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highlight w:val="yellow"/>
                <w:lang w:val="es-BO"/>
              </w:rPr>
            </w:pPr>
          </w:p>
          <w:p w:rsidR="00B613DA" w:rsidRPr="001C30AF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1C30AF">
              <w:rPr>
                <w:rFonts w:ascii="Arial" w:hAnsi="Arial" w:cs="Arial"/>
                <w:lang w:val="es-BO"/>
              </w:rPr>
              <w:t xml:space="preserve">ID de reunión: </w:t>
            </w:r>
            <w:r w:rsidRPr="001C30AF">
              <w:rPr>
                <w:rFonts w:cs="Calibri"/>
              </w:rPr>
              <w:t>896 3576 2398</w:t>
            </w:r>
          </w:p>
          <w:p w:rsidR="00B613DA" w:rsidRPr="00CD1527" w:rsidRDefault="00B613DA" w:rsidP="006339B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1C30AF">
              <w:rPr>
                <w:rFonts w:ascii="Arial" w:hAnsi="Arial" w:cs="Arial"/>
                <w:lang w:val="es-BO"/>
              </w:rPr>
              <w:t xml:space="preserve">Código de acceso: </w:t>
            </w:r>
            <w:r w:rsidRPr="001C30AF">
              <w:rPr>
                <w:rFonts w:cs="Calibri"/>
              </w:rPr>
              <w:t>274538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222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CD1527" w:rsidTr="006339B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B613DA" w:rsidRPr="00CD1527" w:rsidTr="006339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13DA" w:rsidRPr="00CD1527" w:rsidRDefault="00B613DA" w:rsidP="006339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CD1527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13DA" w:rsidRPr="00967208" w:rsidTr="006339B5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13DA" w:rsidRPr="00967208" w:rsidRDefault="00B613DA" w:rsidP="006339B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13DA" w:rsidRPr="00967208" w:rsidRDefault="00B613DA" w:rsidP="006339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13DA" w:rsidRPr="0096720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3DA" w:rsidRPr="0096720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96720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13DA" w:rsidRPr="0096720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13DA" w:rsidRPr="00967208" w:rsidRDefault="00B613DA" w:rsidP="006339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613DA" w:rsidRDefault="00B613DA" w:rsidP="00B613D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  <w:bookmarkStart w:id="2" w:name="_GoBack"/>
      <w:bookmarkEnd w:id="2"/>
    </w:p>
    <w:sectPr w:rsidR="00B61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1D2340"/>
    <w:multiLevelType w:val="hybridMultilevel"/>
    <w:tmpl w:val="1BD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4"/>
    <w:rsid w:val="001546F4"/>
    <w:rsid w:val="00B613DA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153-97C6-48CC-B6AF-C36D29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F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46F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546F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546F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613DA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6F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46F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46F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1546F4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1546F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5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1546F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rsid w:val="00B613DA"/>
    <w:rPr>
      <w:rFonts w:ascii="Verdana" w:eastAsia="Times New Roman" w:hAnsi="Verdana" w:cs="Arial"/>
      <w:bCs/>
      <w:iCs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8332327924?pwd=RFdlZTZGRVVpM0lKOWJSYjd2dkdsU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roch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mo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2023-08-31T17:36:00Z</dcterms:created>
  <dcterms:modified xsi:type="dcterms:W3CDTF">2023-08-31T17:36:00Z</dcterms:modified>
</cp:coreProperties>
</file>