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922007" w:rsidTr="00C16681">
        <w:trPr>
          <w:trHeight w:val="124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75pt;height:56.75pt" o:ole="">
                  <v:imagedata r:id="rId9" o:title=""/>
                </v:shape>
                <o:OLEObject Type="Embed" ProgID="Unknown" ShapeID="_x0000_i1025" DrawAspect="Content" ObjectID="_1400080527" r:id="rId10"/>
              </w:objec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747D28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747D28">
              <w:rPr>
                <w:rFonts w:ascii="Arial" w:hAnsi="Arial" w:cs="Arial"/>
                <w:color w:val="FFFFFF"/>
                <w:lang w:eastAsia="en-US"/>
              </w:rPr>
              <w:t>56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tbl>
      <w:tblPr>
        <w:tblW w:w="9469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549"/>
        <w:gridCol w:w="134"/>
        <w:gridCol w:w="278"/>
        <w:gridCol w:w="334"/>
        <w:gridCol w:w="270"/>
        <w:gridCol w:w="334"/>
        <w:gridCol w:w="334"/>
        <w:gridCol w:w="176"/>
        <w:gridCol w:w="158"/>
        <w:gridCol w:w="376"/>
        <w:gridCol w:w="126"/>
        <w:gridCol w:w="126"/>
        <w:gridCol w:w="78"/>
        <w:gridCol w:w="88"/>
        <w:gridCol w:w="66"/>
        <w:gridCol w:w="66"/>
        <w:gridCol w:w="132"/>
        <w:gridCol w:w="143"/>
        <w:gridCol w:w="275"/>
        <w:gridCol w:w="121"/>
        <w:gridCol w:w="55"/>
        <w:gridCol w:w="105"/>
        <w:gridCol w:w="77"/>
        <w:gridCol w:w="65"/>
        <w:gridCol w:w="121"/>
        <w:gridCol w:w="64"/>
        <w:gridCol w:w="72"/>
        <w:gridCol w:w="70"/>
        <w:gridCol w:w="48"/>
        <w:gridCol w:w="43"/>
        <w:gridCol w:w="209"/>
        <w:gridCol w:w="206"/>
        <w:gridCol w:w="290"/>
        <w:gridCol w:w="351"/>
        <w:gridCol w:w="279"/>
        <w:gridCol w:w="280"/>
        <w:gridCol w:w="134"/>
      </w:tblGrid>
      <w:tr w:rsidR="00747D28" w:rsidRPr="001A7DB7" w:rsidTr="00C16681">
        <w:trPr>
          <w:trHeight w:val="195"/>
        </w:trPr>
        <w:tc>
          <w:tcPr>
            <w:tcW w:w="9469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747D2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CONVOCATORIA</w:t>
            </w:r>
          </w:p>
          <w:p w:rsidR="00747D28" w:rsidRPr="004E15BD" w:rsidRDefault="00747D28" w:rsidP="00923462">
            <w:pPr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4E15BD">
              <w:rPr>
                <w:rFonts w:ascii="Arial" w:hAnsi="Arial" w:cs="Arial"/>
                <w:bCs/>
                <w:sz w:val="18"/>
                <w:szCs w:val="18"/>
              </w:rPr>
              <w:t>Se convoca a la presentación de propuestas para el siguiente proceso:</w:t>
            </w:r>
          </w:p>
        </w:tc>
      </w:tr>
      <w:tr w:rsidR="00747D28" w:rsidRPr="001A7DB7" w:rsidTr="00A335EB"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C16681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1A7DB7" w:rsidRDefault="00747D28" w:rsidP="0092346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iCs/>
                <w:szCs w:val="24"/>
              </w:rPr>
            </w:pPr>
            <w:r w:rsidRPr="001A7DB7">
              <w:rPr>
                <w:rFonts w:eastAsia="Times New Roman"/>
                <w:b/>
                <w:iCs/>
                <w:szCs w:val="24"/>
              </w:rPr>
              <w:t>Banco Central de Bolivia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47D28" w:rsidRPr="001A7DB7" w:rsidTr="00A335EB">
        <w:trPr>
          <w:trHeight w:val="137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7D28" w:rsidRPr="001A7DB7" w:rsidRDefault="00747D28" w:rsidP="0092346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Cs w:val="24"/>
              </w:rPr>
            </w:pPr>
            <w:r w:rsidRPr="001A7DB7">
              <w:rPr>
                <w:rFonts w:eastAsia="Times New Roman"/>
                <w:b/>
                <w:szCs w:val="24"/>
              </w:rPr>
              <w:t>Apoyo Nacional a la Producción y Empleo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658EF" w:rsidRPr="005F235E" w:rsidTr="00A335EB">
        <w:trPr>
          <w:trHeight w:val="1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5F235E" w:rsidRDefault="00747D28" w:rsidP="0092346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2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6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3658EF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747D28" w:rsidRPr="001A7DB7" w:rsidTr="00A335EB"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C16681">
        <w:trPr>
          <w:trHeight w:val="10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  <w:lang w:val="en-GB"/>
              </w:rPr>
            </w:pPr>
            <w:r w:rsidRPr="001A7DB7">
              <w:rPr>
                <w:rFonts w:ascii="Arial" w:hAnsi="Arial" w:cs="Arial"/>
                <w:b/>
                <w:sz w:val="18"/>
                <w:lang w:val="en-GB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822593" w:rsidRDefault="00747D28" w:rsidP="00923462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ANPE C Nº 056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2 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 xml:space="preserve"> 1</w:t>
            </w:r>
            <w:r w:rsidRPr="00822593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  <w:lang w:val="en-GB"/>
              </w:rPr>
            </w:pPr>
          </w:p>
        </w:tc>
      </w:tr>
      <w:tr w:rsidR="00747D28" w:rsidRPr="001A7DB7" w:rsidTr="00A335EB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GB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747D28" w:rsidRPr="001A7DB7" w:rsidTr="00A335EB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8A413D" w:rsidRDefault="00747D28" w:rsidP="00923462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COMPRA DE TONNERS TIPO 1-A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3658EF" w:rsidRPr="005F235E" w:rsidTr="00A335EB">
        <w:trPr>
          <w:cantSplit/>
          <w:trHeight w:val="132"/>
        </w:trPr>
        <w:tc>
          <w:tcPr>
            <w:tcW w:w="2836" w:type="dxa"/>
            <w:vMerge w:val="restart"/>
            <w:tcBorders>
              <w:top w:val="nil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5F235E" w:rsidRDefault="00747D28" w:rsidP="0092346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Método de Selección y Adjudicación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47D28" w:rsidRPr="005F235E" w:rsidRDefault="00747D2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47D28" w:rsidRPr="005F235E" w:rsidRDefault="00747D28" w:rsidP="0092346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a) Calidad, Propuesta Técnica y Costo</w:t>
            </w:r>
          </w:p>
        </w:tc>
        <w:tc>
          <w:tcPr>
            <w:tcW w:w="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47D28" w:rsidRPr="005F235E" w:rsidRDefault="00747D28" w:rsidP="00923462">
            <w:pPr>
              <w:ind w:left="2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dxa"/>
            <w:gridSpan w:val="8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47D28" w:rsidRPr="005F235E" w:rsidRDefault="00747D28" w:rsidP="0092346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b) Calidad</w:t>
            </w:r>
          </w:p>
        </w:tc>
        <w:tc>
          <w:tcPr>
            <w:tcW w:w="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9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47D28" w:rsidRPr="005F235E" w:rsidRDefault="00747D28" w:rsidP="0092346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c) Presupuesto  Fijo</w:t>
            </w:r>
          </w:p>
        </w:tc>
      </w:tr>
      <w:tr w:rsidR="003658EF" w:rsidRPr="001A7DB7" w:rsidTr="00A335EB">
        <w:trPr>
          <w:cantSplit/>
          <w:trHeight w:val="72"/>
        </w:trPr>
        <w:tc>
          <w:tcPr>
            <w:tcW w:w="2836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2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  <w:tc>
          <w:tcPr>
            <w:tcW w:w="17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D28" w:rsidRPr="001A7DB7" w:rsidRDefault="00747D28" w:rsidP="00923462">
            <w:pPr>
              <w:jc w:val="right"/>
              <w:rPr>
                <w:rFonts w:ascii="Century Gothic" w:hAnsi="Century Gothic"/>
                <w:b/>
                <w:sz w:val="4"/>
                <w:szCs w:val="4"/>
              </w:rPr>
            </w:pPr>
          </w:p>
        </w:tc>
      </w:tr>
      <w:tr w:rsidR="003658EF" w:rsidRPr="001A7DB7" w:rsidTr="00A335EB">
        <w:trPr>
          <w:cantSplit/>
          <w:trHeight w:val="189"/>
        </w:trPr>
        <w:tc>
          <w:tcPr>
            <w:tcW w:w="2836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8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47D28" w:rsidRPr="005F235E" w:rsidRDefault="00747D28" w:rsidP="00923462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 w:rsidRPr="005F235E">
              <w:rPr>
                <w:rFonts w:eastAsia="Times New Roman"/>
              </w:rPr>
              <w:t>c) Menor Costo</w:t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47D28" w:rsidRPr="005F235E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47D28" w:rsidRPr="005F235E" w:rsidRDefault="00747D28" w:rsidP="00923462">
            <w:pPr>
              <w:ind w:right="-33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5F235E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X</w:t>
            </w:r>
          </w:p>
        </w:tc>
        <w:tc>
          <w:tcPr>
            <w:tcW w:w="3008" w:type="dxa"/>
            <w:gridSpan w:val="20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47D28" w:rsidRPr="005F235E" w:rsidRDefault="00747D28" w:rsidP="00923462">
            <w:pPr>
              <w:pStyle w:val="font5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5F235E">
              <w:rPr>
                <w:rFonts w:eastAsia="Times New Roman"/>
                <w:b/>
                <w:bCs/>
              </w:rPr>
              <w:t>d) Precio Evaluado Más Bajo</w:t>
            </w: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747D28" w:rsidRPr="001A7DB7" w:rsidTr="00515165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1761C2" w:rsidRDefault="00747D28" w:rsidP="00515165">
            <w:pPr>
              <w:pStyle w:val="Ttulo7"/>
              <w:spacing w:befor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1761C2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20"/>
              </w:rPr>
              <w:t>Por Ítem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/>
                <w:bCs/>
                <w:sz w:val="4"/>
                <w:szCs w:val="2"/>
              </w:rPr>
            </w:pPr>
          </w:p>
        </w:tc>
      </w:tr>
      <w:tr w:rsidR="00747D28" w:rsidRPr="001A7DB7" w:rsidTr="00A335EB">
        <w:trPr>
          <w:trHeight w:val="12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Precio Referencial (En Bs.)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3A4069" w:rsidRDefault="00747D28" w:rsidP="0066202A">
            <w:pPr>
              <w:pStyle w:val="Ttulo7"/>
              <w:spacing w:before="0" w:line="180" w:lineRule="atLeast"/>
              <w:jc w:val="center"/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</w:pPr>
            <w:proofErr w:type="spell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Ítem</w:t>
            </w:r>
            <w:proofErr w:type="spellEnd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 xml:space="preserve"> 1: Bs31.900</w:t>
            </w:r>
            <w:proofErr w:type="gram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,00</w:t>
            </w:r>
            <w:proofErr w:type="gramEnd"/>
          </w:p>
          <w:p w:rsidR="00747D28" w:rsidRPr="003A4069" w:rsidRDefault="00747D28" w:rsidP="0066202A">
            <w:pPr>
              <w:pStyle w:val="Ttulo7"/>
              <w:spacing w:before="0" w:line="180" w:lineRule="atLeast"/>
              <w:jc w:val="center"/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</w:pPr>
            <w:proofErr w:type="spell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Ítem</w:t>
            </w:r>
            <w:proofErr w:type="spellEnd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 xml:space="preserve"> 2: Bs53.240</w:t>
            </w:r>
            <w:proofErr w:type="gram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,00</w:t>
            </w:r>
            <w:proofErr w:type="gramEnd"/>
          </w:p>
          <w:p w:rsidR="00747D28" w:rsidRPr="003A4069" w:rsidRDefault="00747D28" w:rsidP="0066202A">
            <w:pPr>
              <w:pStyle w:val="Ttulo7"/>
              <w:spacing w:before="0" w:line="180" w:lineRule="atLeast"/>
              <w:jc w:val="center"/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</w:pPr>
            <w:proofErr w:type="spell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Ítem</w:t>
            </w:r>
            <w:proofErr w:type="spellEnd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 xml:space="preserve"> 3: Bs14.000</w:t>
            </w:r>
            <w:proofErr w:type="gram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  <w:lang w:val="en-US"/>
              </w:rPr>
              <w:t>,00</w:t>
            </w:r>
            <w:proofErr w:type="gramEnd"/>
          </w:p>
          <w:p w:rsidR="00747D28" w:rsidRPr="003A4069" w:rsidRDefault="00747D28" w:rsidP="0066202A">
            <w:pPr>
              <w:pStyle w:val="Ttulo7"/>
              <w:spacing w:before="0" w:line="180" w:lineRule="atLeast"/>
              <w:jc w:val="center"/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</w:rPr>
            </w:pPr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</w:rPr>
              <w:t>Ítem 4: Bs100.800</w:t>
            </w:r>
            <w:proofErr w:type="gramStart"/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747D28" w:rsidRPr="003A4069" w:rsidRDefault="00747D28" w:rsidP="0066202A">
            <w:pPr>
              <w:pStyle w:val="Ttulo7"/>
              <w:spacing w:before="0" w:line="180" w:lineRule="atLeast"/>
              <w:jc w:val="center"/>
              <w:rPr>
                <w:rFonts w:ascii="Arial" w:hAnsi="Arial" w:cs="Arial"/>
                <w:bCs/>
                <w:i w:val="0"/>
                <w:color w:val="0000FF"/>
                <w:sz w:val="18"/>
                <w:szCs w:val="18"/>
              </w:rPr>
            </w:pPr>
            <w:r w:rsidRPr="003A4069">
              <w:rPr>
                <w:rFonts w:ascii="Arial" w:hAnsi="Arial" w:cs="Arial"/>
                <w:bCs/>
                <w:i w:val="0"/>
                <w:color w:val="0000FF"/>
                <w:sz w:val="18"/>
                <w:szCs w:val="18"/>
              </w:rPr>
              <w:t>Total Bs199.940</w:t>
            </w:r>
            <w:proofErr w:type="gramStart"/>
            <w:r w:rsidRPr="003A4069">
              <w:rPr>
                <w:rFonts w:ascii="Arial" w:hAnsi="Arial" w:cs="Arial"/>
                <w:bCs/>
                <w:i w:val="0"/>
                <w:color w:val="0000FF"/>
                <w:sz w:val="18"/>
                <w:szCs w:val="18"/>
              </w:rPr>
              <w:t>,00</w:t>
            </w:r>
            <w:proofErr w:type="gramEnd"/>
            <w:r w:rsidRPr="003A4069">
              <w:rPr>
                <w:rFonts w:ascii="Arial" w:hAnsi="Arial" w:cs="Arial"/>
                <w:bCs/>
                <w:i w:val="0"/>
                <w:color w:val="0000FF"/>
                <w:sz w:val="18"/>
                <w:szCs w:val="18"/>
              </w:rPr>
              <w:t xml:space="preserve"> (Ciento noventa y nueve mil novecientos cuarenta 00/100 bolivianos)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pStyle w:val="Ttulo7"/>
              <w:rPr>
                <w:sz w:val="2"/>
                <w:szCs w:val="2"/>
              </w:rPr>
            </w:pPr>
          </w:p>
        </w:tc>
      </w:tr>
      <w:tr w:rsidR="00747D28" w:rsidRPr="00285DE3" w:rsidTr="008374BF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285DE3" w:rsidRDefault="00747D28" w:rsidP="00923462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285DE3" w:rsidRDefault="00747D28" w:rsidP="00923462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D28" w:rsidRPr="00A335EB" w:rsidRDefault="00747D28" w:rsidP="00515165">
            <w:pPr>
              <w:pStyle w:val="Ttulo7"/>
              <w:spacing w:before="0" w:line="120" w:lineRule="atLeast"/>
              <w:rPr>
                <w:rFonts w:ascii="Arial" w:hAnsi="Arial" w:cs="Arial"/>
                <w:bCs/>
                <w:i w:val="0"/>
                <w:color w:val="0000FF"/>
                <w:sz w:val="2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285DE3" w:rsidRDefault="00747D28" w:rsidP="00923462">
            <w:pPr>
              <w:pStyle w:val="Ttulo7"/>
              <w:rPr>
                <w:sz w:val="2"/>
                <w:szCs w:val="2"/>
              </w:rPr>
            </w:pPr>
          </w:p>
        </w:tc>
      </w:tr>
      <w:tr w:rsidR="00747D28" w:rsidRPr="001A7DB7" w:rsidTr="008374BF">
        <w:trPr>
          <w:trHeight w:val="1323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285DE3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Garantía de Cumplimiento de</w:t>
            </w:r>
          </w:p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85DE3">
              <w:rPr>
                <w:rFonts w:ascii="Arial" w:hAnsi="Arial" w:cs="Arial"/>
                <w:b/>
                <w:sz w:val="18"/>
              </w:rPr>
              <w:t>Contrato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47D28" w:rsidRPr="00F145C2" w:rsidRDefault="008374BF" w:rsidP="00E178E8">
            <w:pPr>
              <w:pStyle w:val="Ttulo7"/>
              <w:spacing w:before="0"/>
              <w:jc w:val="both"/>
              <w:rPr>
                <w:rFonts w:ascii="Arial" w:hAnsi="Arial" w:cs="Arial"/>
                <w:b/>
                <w:bCs/>
                <w:i w:val="0"/>
                <w:color w:val="0000FF"/>
                <w:sz w:val="17"/>
                <w:szCs w:val="17"/>
              </w:rPr>
            </w:pPr>
            <w:bookmarkStart w:id="0" w:name="_GoBack"/>
            <w:r w:rsidRPr="00F145C2">
              <w:rPr>
                <w:rFonts w:ascii="Arial" w:hAnsi="Arial" w:cs="Arial"/>
                <w:b/>
                <w:i w:val="0"/>
                <w:sz w:val="17"/>
                <w:szCs w:val="17"/>
              </w:rPr>
              <w:t>El proponente adjudicado deberá constituir la garantía de cumplimiento de contrato por el 7% del monto del contrato, el cual podrá ser una de las señaladas en el Art. 20 de las NB-SABS, (Boleta de Garantía, Boleta de Garantía a Primer Requerimiento, Póliza de Seguro de Caución a Primer Requerimiento ó solicitar la retención del siete por ciento (7%) de cada pago), salvo para las Micro y Pequeñas Empresas, Asociaciones de Pequeñas Productores Urbanos y Rurales y Organizaciones Económico Campesinas, cuyo monto será del 3.5% del monto del contrato.</w:t>
            </w:r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47D28" w:rsidRPr="001A7DB7" w:rsidRDefault="00747D28" w:rsidP="00923462">
            <w:pPr>
              <w:pStyle w:val="Ttulo7"/>
              <w:rPr>
                <w:sz w:val="2"/>
                <w:szCs w:val="2"/>
              </w:rPr>
            </w:pPr>
          </w:p>
        </w:tc>
      </w:tr>
      <w:tr w:rsidR="00747D28" w:rsidRPr="001A7DB7" w:rsidTr="00A335EB">
        <w:trPr>
          <w:trHeight w:val="64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285DE3" w:rsidRDefault="00747D28" w:rsidP="00923462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285DE3" w:rsidRDefault="00747D28" w:rsidP="00923462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5950" w:type="dxa"/>
            <w:gridSpan w:val="3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7D28" w:rsidRPr="00C21F6B" w:rsidRDefault="00747D28" w:rsidP="00923462">
            <w:pPr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747D28" w:rsidRPr="001A7DB7" w:rsidTr="00027C92">
        <w:trPr>
          <w:trHeight w:val="318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3A4069" w:rsidRDefault="00747D28" w:rsidP="00515165">
            <w:pPr>
              <w:pStyle w:val="Ttulo7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3A4069">
              <w:rPr>
                <w:rFonts w:ascii="Arial" w:hAnsi="Arial" w:cs="Arial"/>
                <w:bCs/>
                <w:i w:val="0"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blPrEx>
          <w:tblCellMar>
            <w:left w:w="28" w:type="dxa"/>
            <w:right w:w="28" w:type="dxa"/>
          </w:tblCellMar>
        </w:tblPrEx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8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7D28" w:rsidRPr="003A4069" w:rsidRDefault="00747D28" w:rsidP="00923462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A4069">
              <w:rPr>
                <w:rFonts w:ascii="Arial" w:hAnsi="Arial" w:cs="Arial"/>
                <w:b/>
                <w:bCs/>
                <w:sz w:val="18"/>
                <w:szCs w:val="18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7D28" w:rsidRPr="003A4069" w:rsidRDefault="00747D28" w:rsidP="009234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7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47D28" w:rsidRPr="003A4069" w:rsidRDefault="00747D28" w:rsidP="009234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4069">
              <w:rPr>
                <w:rFonts w:ascii="Arial" w:hAnsi="Arial" w:cs="Arial"/>
                <w:b/>
                <w:bCs/>
                <w:sz w:val="18"/>
                <w:szCs w:val="18"/>
              </w:rPr>
              <w:t>% de Financiamiento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7C7C52">
        <w:tblPrEx>
          <w:tblCellMar>
            <w:left w:w="28" w:type="dxa"/>
            <w:right w:w="28" w:type="dxa"/>
          </w:tblCellMar>
        </w:tblPrEx>
        <w:trPr>
          <w:trHeight w:val="15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7D28" w:rsidRPr="003A4069" w:rsidRDefault="00747D28" w:rsidP="00923462">
            <w:pPr>
              <w:jc w:val="center"/>
              <w:rPr>
                <w:sz w:val="18"/>
                <w:szCs w:val="18"/>
              </w:rPr>
            </w:pPr>
            <w:r w:rsidRPr="003A4069">
              <w:rPr>
                <w:rFonts w:ascii="Arial" w:hAnsi="Arial" w:cs="Arial"/>
                <w:sz w:val="18"/>
                <w:szCs w:val="18"/>
              </w:rPr>
              <w:t>Recursos Propios del BCB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7D28" w:rsidRPr="003A4069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47D28" w:rsidRPr="003A4069" w:rsidRDefault="00747D28" w:rsidP="009234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0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nil"/>
            </w:tcBorders>
            <w:vAlign w:val="center"/>
          </w:tcPr>
          <w:p w:rsidR="00747D28" w:rsidRPr="00C21F6B" w:rsidRDefault="00747D28" w:rsidP="0092346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7D28" w:rsidRPr="001A7DB7" w:rsidTr="00F145C2">
        <w:trPr>
          <w:trHeight w:val="162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Plazo previsto para la entrega de bienes (días calendario)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3A4069" w:rsidRDefault="00747D28" w:rsidP="00E178E8">
            <w:pPr>
              <w:pStyle w:val="Ttulo7"/>
              <w:spacing w:befor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3A4069"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</w:rPr>
              <w:t>Hasta treinta (30) días calendario, a partir de la firma del contrato.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C21F6B" w:rsidRDefault="00747D28" w:rsidP="00E178E8">
            <w:pPr>
              <w:spacing w:line="276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7D28" w:rsidRPr="001A7DB7" w:rsidTr="00F145C2">
        <w:trPr>
          <w:trHeight w:val="99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Lugar de entrega de los bienes</w:t>
            </w:r>
          </w:p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3A4069" w:rsidRDefault="00747D28" w:rsidP="00E178E8">
            <w:pPr>
              <w:pStyle w:val="Ttulo7"/>
              <w:spacing w:before="0" w:line="240" w:lineRule="atLeast"/>
              <w:rPr>
                <w:rFonts w:ascii="Arial" w:hAnsi="Arial" w:cs="Arial"/>
                <w:b/>
                <w:bCs/>
                <w:i w:val="0"/>
                <w:color w:val="0000FF"/>
                <w:sz w:val="18"/>
                <w:szCs w:val="18"/>
              </w:rPr>
            </w:pPr>
            <w:r w:rsidRPr="003A4069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Unidad de Almacenes, Piso 5 del Edificio Principal del BCB.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28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084" w:type="dxa"/>
            <w:gridSpan w:val="3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F145C2">
        <w:trPr>
          <w:trHeight w:val="654"/>
        </w:trPr>
        <w:tc>
          <w:tcPr>
            <w:tcW w:w="9469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747D2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INFORMACIÓN DEL DOCUMENTO BASE DE CONTRATACIÓN (DBC)</w:t>
            </w:r>
          </w:p>
          <w:p w:rsidR="00747D28" w:rsidRPr="001A7DB7" w:rsidRDefault="00747D28" w:rsidP="00923462">
            <w:pPr>
              <w:ind w:left="360" w:right="56"/>
              <w:jc w:val="both"/>
              <w:rPr>
                <w:rFonts w:ascii="Arial" w:hAnsi="Arial" w:cs="Arial"/>
                <w:bCs/>
                <w:sz w:val="16"/>
              </w:rPr>
            </w:pPr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11" w:history="1">
              <w:r w:rsidRPr="000D2D83">
                <w:rPr>
                  <w:rStyle w:val="Hipervnculo"/>
                  <w:rFonts w:ascii="Arial" w:hAnsi="Arial" w:cs="Arial"/>
                  <w:bCs/>
                  <w:sz w:val="16"/>
                  <w:lang w:val="es-ES_tradnl"/>
                </w:rPr>
                <w:t>www.sicoes.gob.bo</w:t>
              </w:r>
            </w:hyperlink>
            <w:r w:rsidRPr="001A7DB7">
              <w:rPr>
                <w:rFonts w:ascii="Arial" w:hAnsi="Arial" w:cs="Arial"/>
                <w:bCs/>
                <w:sz w:val="16"/>
                <w:lang w:val="es-ES_tradnl"/>
              </w:rPr>
              <w:t>):</w:t>
            </w: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rPr>
          <w:trHeight w:val="398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de entrega del DBC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0E3A57" w:rsidRDefault="00747D28" w:rsidP="00923462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6"/>
              </w:rPr>
            </w:pPr>
            <w:r w:rsidRPr="000E3A57">
              <w:rPr>
                <w:rFonts w:ascii="Arial" w:hAnsi="Arial" w:cs="Arial"/>
                <w:bCs/>
                <w:color w:val="000000"/>
                <w:sz w:val="18"/>
                <w:szCs w:val="16"/>
              </w:rPr>
              <w:t>Piso 7 del Edificio Principal del BCB, Dpto. de Compras y Contrataciones, ubicado en el Calle Ayacucho esquina Merc</w:t>
            </w:r>
            <w:r w:rsidRPr="000E3A5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F145C2">
        <w:trPr>
          <w:trHeight w:val="222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Desde horas 8:30 hasta horas 16:30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58EF" w:rsidRPr="00A164BA" w:rsidTr="00F145C2">
        <w:trPr>
          <w:trHeight w:val="70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A164BA" w:rsidRDefault="00747D28" w:rsidP="00923462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  <w:p w:rsidR="00747D28" w:rsidRPr="00A164BA" w:rsidRDefault="00747D28" w:rsidP="00923462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* Administrativas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D28" w:rsidRPr="00A164BA" w:rsidRDefault="00747D28" w:rsidP="00923462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164BA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A164BA" w:rsidRDefault="00747D28" w:rsidP="00923462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Jacqueline</w:t>
            </w: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Chura 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Valero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Profesional en Compras y Contrataciones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CL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285DE3" w:rsidRDefault="00747D28" w:rsidP="00923462">
            <w:pPr>
              <w:ind w:right="105"/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285DE3">
              <w:rPr>
                <w:rFonts w:ascii="Arial" w:hAnsi="Arial" w:cs="Arial"/>
                <w:bCs/>
                <w:color w:val="0000FF"/>
                <w:sz w:val="18"/>
                <w:szCs w:val="16"/>
              </w:rPr>
              <w:t>Dpto. de Compras y Contrataciones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A164BA" w:rsidRDefault="00747D28" w:rsidP="00923462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658EF" w:rsidRPr="0057293A" w:rsidTr="00F145C2">
        <w:trPr>
          <w:trHeight w:val="64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57293A" w:rsidRDefault="00747D28" w:rsidP="00923462">
            <w:pPr>
              <w:jc w:val="right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jc w:val="center"/>
              <w:rPr>
                <w:rFonts w:ascii="Arial Narrow" w:hAnsi="Arial Narrow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ind w:left="2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ind w:left="207"/>
              <w:jc w:val="right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7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ind w:left="50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ind w:left="207"/>
              <w:jc w:val="right"/>
              <w:rPr>
                <w:rFonts w:ascii="Arial Narrow" w:hAnsi="Arial Narrow" w:cs="Arial"/>
                <w:sz w:val="2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57293A" w:rsidRDefault="00747D28" w:rsidP="00923462">
            <w:pPr>
              <w:ind w:right="105"/>
              <w:jc w:val="center"/>
              <w:rPr>
                <w:rFonts w:ascii="Arial Narrow" w:hAnsi="Arial Narrow" w:cs="Arial"/>
                <w:sz w:val="2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57293A" w:rsidRDefault="00747D28" w:rsidP="00923462">
            <w:pPr>
              <w:rPr>
                <w:rFonts w:ascii="Arial Narrow" w:hAnsi="Arial Narrow" w:cs="Arial"/>
                <w:sz w:val="2"/>
              </w:rPr>
            </w:pPr>
          </w:p>
        </w:tc>
      </w:tr>
      <w:tr w:rsidR="00747D28" w:rsidRPr="001A7DB7" w:rsidTr="00F145C2">
        <w:trPr>
          <w:cantSplit/>
          <w:trHeight w:val="436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A164BA" w:rsidRDefault="00747D28" w:rsidP="0092346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Piso 7 del Edificio Principal del BCB,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 Calle Ayacucho esquina Mercado,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La Paz – Bolivia.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rPr>
          <w:trHeight w:val="333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450BA1" w:rsidRDefault="00747D28" w:rsidP="0092346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2409090: - </w:t>
            </w:r>
            <w:proofErr w:type="spellStart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Int</w:t>
            </w:r>
            <w:proofErr w:type="spellEnd"/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 4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 xml:space="preserve">716, 4717 </w:t>
            </w:r>
            <w:r w:rsidRPr="00D269BC">
              <w:rPr>
                <w:rFonts w:ascii="Arial" w:hAnsi="Arial" w:cs="Arial"/>
                <w:bCs/>
                <w:color w:val="0000FF"/>
                <w:sz w:val="18"/>
                <w:szCs w:val="16"/>
              </w:rPr>
              <w:t>(Consultas Administrativas)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1A7DB7" w:rsidTr="00A335EB">
        <w:trPr>
          <w:trHeight w:val="153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1A7DB7" w:rsidRDefault="00747D28" w:rsidP="00923462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450BA1" w:rsidRDefault="00747D28" w:rsidP="0092346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450BA1">
              <w:rPr>
                <w:rFonts w:ascii="Arial" w:hAnsi="Arial" w:cs="Arial"/>
                <w:bCs/>
                <w:color w:val="0000FF"/>
                <w:sz w:val="18"/>
                <w:szCs w:val="16"/>
              </w:rPr>
              <w:t>2407368 - 2406922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1A7DB7" w:rsidRDefault="00747D28" w:rsidP="00923462">
            <w:pPr>
              <w:rPr>
                <w:rFonts w:ascii="Arial" w:hAnsi="Arial" w:cs="Arial"/>
                <w:sz w:val="18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7D28" w:rsidRPr="00285DE3" w:rsidTr="00515165">
        <w:trPr>
          <w:trHeight w:val="135"/>
        </w:trPr>
        <w:tc>
          <w:tcPr>
            <w:tcW w:w="28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47D28" w:rsidRPr="00285DE3" w:rsidRDefault="00E178E8" w:rsidP="004D663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7D28" w:rsidRPr="00285DE3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D28" w:rsidRPr="00285DE3" w:rsidRDefault="00747D2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5DE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285DE3" w:rsidRDefault="00747D28" w:rsidP="009234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47D28" w:rsidRPr="00285DE3" w:rsidRDefault="00747D28" w:rsidP="00923462">
            <w:pPr>
              <w:jc w:val="both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hyperlink r:id="rId12" w:history="1">
              <w:r w:rsidRPr="00F81EA8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jchura@bcb.gob.bo</w:t>
              </w:r>
            </w:hyperlink>
            <w:r w:rsidRPr="00285DE3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o </w:t>
            </w:r>
            <w:hyperlink r:id="rId13" w:history="1">
              <w:r w:rsidRPr="00784352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mcuba@bcb.gob.bo</w:t>
              </w:r>
            </w:hyperlink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(Consultas Administrativas)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747D28" w:rsidRPr="00285DE3" w:rsidRDefault="00747D28" w:rsidP="00923462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47D28" w:rsidRPr="001A7DB7" w:rsidTr="00A335EB">
        <w:tc>
          <w:tcPr>
            <w:tcW w:w="9469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47D28" w:rsidRPr="001A7DB7" w:rsidRDefault="00747D28" w:rsidP="0092346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922007" w:rsidTr="0066202A">
        <w:trPr>
          <w:trHeight w:val="1680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6.75pt;height:56.75pt" o:ole="">
                  <v:imagedata r:id="rId9" o:title=""/>
                </v:shape>
                <o:OLEObject Type="Embed" ProgID="Unknown" ShapeID="_x0000_i1026" DrawAspect="Content" ObjectID="_1400080528" r:id="rId14"/>
              </w:object>
            </w:r>
          </w:p>
        </w:tc>
        <w:tc>
          <w:tcPr>
            <w:tcW w:w="7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E178E8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178E8">
              <w:rPr>
                <w:rFonts w:ascii="Arial" w:hAnsi="Arial" w:cs="Arial"/>
                <w:color w:val="FFFFFF"/>
                <w:lang w:eastAsia="en-US"/>
              </w:rPr>
              <w:t>5</w:t>
            </w:r>
            <w:r>
              <w:rPr>
                <w:rFonts w:ascii="Arial" w:hAnsi="Arial" w:cs="Arial"/>
                <w:color w:val="FFFFFF"/>
                <w:lang w:eastAsia="en-US"/>
              </w:rPr>
              <w:t>6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/2012 – 1C</w:t>
            </w:r>
          </w:p>
        </w:tc>
      </w:tr>
    </w:tbl>
    <w:p w:rsidR="005977C7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05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CF66F8" w:rsidRPr="001A7DB7" w:rsidTr="00923462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CF66F8">
            <w:pPr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CF66F8" w:rsidRPr="001A7DB7" w:rsidRDefault="00CF66F8" w:rsidP="00923462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CF66F8" w:rsidRPr="001A7DB7" w:rsidTr="00923462">
        <w:trPr>
          <w:cantSplit/>
          <w:trHeight w:val="264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CF66F8" w:rsidRPr="001A7DB7" w:rsidTr="00923462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CF66F8" w:rsidRPr="001A7DB7" w:rsidTr="00923462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01.06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F66F8" w:rsidRPr="001A7DB7" w:rsidRDefault="00CF66F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6F8" w:rsidRPr="001A7DB7" w:rsidRDefault="00CF66F8" w:rsidP="00923462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CF66F8" w:rsidRPr="001A7DB7" w:rsidTr="0092346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12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: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Presentación de Cotizaciones:</w:t>
            </w:r>
          </w:p>
          <w:p w:rsidR="00CF66F8" w:rsidRPr="001A7DB7" w:rsidRDefault="00CF66F8" w:rsidP="00923462">
            <w:pPr>
              <w:pStyle w:val="Textoindependiente3"/>
            </w:pPr>
            <w:r w:rsidRPr="001A7DB7">
              <w:t>Ventanilla Única de Correspondencia PB del Edificio del BCB, Ubicada en la calle Ayacucho, Esq. Mercado.</w:t>
            </w:r>
          </w:p>
          <w:p w:rsidR="00CF66F8" w:rsidRPr="001A7DB7" w:rsidRDefault="00CF66F8" w:rsidP="00923462">
            <w:pPr>
              <w:pStyle w:val="Textoindependiente3"/>
            </w:pPr>
          </w:p>
          <w:p w:rsidR="00CF66F8" w:rsidRPr="001A7DB7" w:rsidRDefault="00CF66F8" w:rsidP="00923462">
            <w:pPr>
              <w:pStyle w:val="Textoindependiente3"/>
              <w:rPr>
                <w:sz w:val="4"/>
              </w:rPr>
            </w:pPr>
          </w:p>
          <w:p w:rsidR="00CF66F8" w:rsidRPr="001A7DB7" w:rsidRDefault="00CF66F8" w:rsidP="00923462">
            <w:pPr>
              <w:pStyle w:val="Textoindependiente3"/>
              <w:rPr>
                <w:b/>
                <w:bCs/>
              </w:rPr>
            </w:pPr>
            <w:r w:rsidRPr="001A7DB7">
              <w:rPr>
                <w:b/>
                <w:bCs/>
              </w:rPr>
              <w:t>Apertura de Cotizaciones:</w:t>
            </w:r>
          </w:p>
          <w:p w:rsidR="00CF66F8" w:rsidRPr="001A7DB7" w:rsidRDefault="00CF66F8" w:rsidP="00923462">
            <w:pPr>
              <w:pStyle w:val="Textoindependiente3"/>
            </w:pPr>
            <w:r w:rsidRPr="001A7DB7">
              <w:t>Piso 7, Dpto. de Compras y Contrataciones del BCB.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F66F8" w:rsidRPr="001A7DB7" w:rsidTr="0092346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1A7DB7" w:rsidRDefault="00CF66F8" w:rsidP="00923462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CF66F8" w:rsidRPr="001A7DB7" w:rsidTr="0092346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13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F66F8" w:rsidRPr="001A7DB7" w:rsidTr="0092346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Presentación de documentos para 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23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F66F8" w:rsidRPr="001A7DB7" w:rsidTr="00923462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6F8" w:rsidRPr="001A7DB7" w:rsidRDefault="00CF66F8" w:rsidP="0092346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66F8" w:rsidRPr="001A7DB7" w:rsidTr="00923462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Suscripción de la </w:t>
            </w:r>
            <w:r>
              <w:rPr>
                <w:rFonts w:ascii="Arial" w:hAnsi="Arial" w:cs="Arial"/>
                <w:sz w:val="18"/>
              </w:rPr>
              <w:t>Contrato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F66F8" w:rsidRPr="003269AB" w:rsidRDefault="00CF66F8" w:rsidP="0092346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31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6F8" w:rsidRPr="001A7DB7" w:rsidRDefault="00CF66F8" w:rsidP="00923462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F66F8" w:rsidRPr="001A7DB7" w:rsidTr="00923462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F66F8" w:rsidRPr="001A7DB7" w:rsidRDefault="00CF66F8" w:rsidP="0092346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66F8" w:rsidRPr="001A7DB7" w:rsidRDefault="00CF66F8" w:rsidP="0092346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F66F8" w:rsidRDefault="00CF66F8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p w:rsidR="00CF66F8" w:rsidRPr="004C3091" w:rsidRDefault="00CF66F8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C16681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4E" w:rsidRDefault="006E684E" w:rsidP="005D1544">
      <w:r>
        <w:separator/>
      </w:r>
    </w:p>
  </w:endnote>
  <w:endnote w:type="continuationSeparator" w:id="0">
    <w:p w:rsidR="006E684E" w:rsidRDefault="006E684E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4E" w:rsidRDefault="006E684E" w:rsidP="005D1544">
      <w:r>
        <w:separator/>
      </w:r>
    </w:p>
  </w:footnote>
  <w:footnote w:type="continuationSeparator" w:id="0">
    <w:p w:rsidR="006E684E" w:rsidRDefault="006E684E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4172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7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  <w:num w:numId="18">
    <w:abstractNumId w:val="6"/>
  </w:num>
  <w:num w:numId="19">
    <w:abstractNumId w:val="10"/>
  </w:num>
  <w:num w:numId="20">
    <w:abstractNumId w:val="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27C92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761C2"/>
    <w:rsid w:val="001876A5"/>
    <w:rsid w:val="00197E7A"/>
    <w:rsid w:val="001A1CE9"/>
    <w:rsid w:val="001B03F6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658EF"/>
    <w:rsid w:val="0038642A"/>
    <w:rsid w:val="003A2E44"/>
    <w:rsid w:val="003A4069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9771E"/>
    <w:rsid w:val="004C3091"/>
    <w:rsid w:val="004C31FD"/>
    <w:rsid w:val="004D6630"/>
    <w:rsid w:val="00515165"/>
    <w:rsid w:val="00520905"/>
    <w:rsid w:val="00530E02"/>
    <w:rsid w:val="00580BC8"/>
    <w:rsid w:val="0058518F"/>
    <w:rsid w:val="005977C7"/>
    <w:rsid w:val="005A02D0"/>
    <w:rsid w:val="005B6AFD"/>
    <w:rsid w:val="005D1544"/>
    <w:rsid w:val="005E3564"/>
    <w:rsid w:val="006023ED"/>
    <w:rsid w:val="00615757"/>
    <w:rsid w:val="00615FDC"/>
    <w:rsid w:val="00644D3D"/>
    <w:rsid w:val="0066202A"/>
    <w:rsid w:val="006801E3"/>
    <w:rsid w:val="006E684E"/>
    <w:rsid w:val="006F50C4"/>
    <w:rsid w:val="007132CC"/>
    <w:rsid w:val="007462CB"/>
    <w:rsid w:val="0074709D"/>
    <w:rsid w:val="00747D28"/>
    <w:rsid w:val="0077207E"/>
    <w:rsid w:val="007C7C52"/>
    <w:rsid w:val="007D48EB"/>
    <w:rsid w:val="007F4849"/>
    <w:rsid w:val="00806FC0"/>
    <w:rsid w:val="00811CFB"/>
    <w:rsid w:val="008167F2"/>
    <w:rsid w:val="00820E67"/>
    <w:rsid w:val="00834EBD"/>
    <w:rsid w:val="008374BF"/>
    <w:rsid w:val="0085178E"/>
    <w:rsid w:val="008732EA"/>
    <w:rsid w:val="00893063"/>
    <w:rsid w:val="008944EF"/>
    <w:rsid w:val="008B3481"/>
    <w:rsid w:val="008B6D83"/>
    <w:rsid w:val="008D411F"/>
    <w:rsid w:val="008D5665"/>
    <w:rsid w:val="009213F1"/>
    <w:rsid w:val="00922007"/>
    <w:rsid w:val="0094661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335EB"/>
    <w:rsid w:val="00A966B1"/>
    <w:rsid w:val="00A96E83"/>
    <w:rsid w:val="00AB03D6"/>
    <w:rsid w:val="00AC7518"/>
    <w:rsid w:val="00B03E8C"/>
    <w:rsid w:val="00B243A6"/>
    <w:rsid w:val="00B47F9E"/>
    <w:rsid w:val="00B83287"/>
    <w:rsid w:val="00B8518C"/>
    <w:rsid w:val="00B9200E"/>
    <w:rsid w:val="00BE08AA"/>
    <w:rsid w:val="00C05FF5"/>
    <w:rsid w:val="00C10429"/>
    <w:rsid w:val="00C16681"/>
    <w:rsid w:val="00C21D73"/>
    <w:rsid w:val="00C21F6B"/>
    <w:rsid w:val="00C61894"/>
    <w:rsid w:val="00C62CF9"/>
    <w:rsid w:val="00C74FED"/>
    <w:rsid w:val="00C8004A"/>
    <w:rsid w:val="00C863B1"/>
    <w:rsid w:val="00C91F35"/>
    <w:rsid w:val="00C93801"/>
    <w:rsid w:val="00C968F5"/>
    <w:rsid w:val="00CC3285"/>
    <w:rsid w:val="00CD6CA2"/>
    <w:rsid w:val="00CF66F8"/>
    <w:rsid w:val="00D53BA7"/>
    <w:rsid w:val="00D703FB"/>
    <w:rsid w:val="00D91593"/>
    <w:rsid w:val="00E178E8"/>
    <w:rsid w:val="00E85EC9"/>
    <w:rsid w:val="00E91B04"/>
    <w:rsid w:val="00EB66A0"/>
    <w:rsid w:val="00EC14AA"/>
    <w:rsid w:val="00EC2477"/>
    <w:rsid w:val="00EE1887"/>
    <w:rsid w:val="00EE6F4D"/>
    <w:rsid w:val="00F02DCA"/>
    <w:rsid w:val="00F12C05"/>
    <w:rsid w:val="00F145C2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A5D63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cuba@bcb.gob.b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hura@bcb.gob.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coes.gob.b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9D54-1274-4B11-972A-E85B64A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5</cp:revision>
  <cp:lastPrinted>2012-06-01T21:59:00Z</cp:lastPrinted>
  <dcterms:created xsi:type="dcterms:W3CDTF">2012-06-01T21:43:00Z</dcterms:created>
  <dcterms:modified xsi:type="dcterms:W3CDTF">2012-06-01T22:29:00Z</dcterms:modified>
</cp:coreProperties>
</file>