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48" w:rsidRDefault="00396B48" w:rsidP="00396B48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396B48" w:rsidRPr="00103827" w:rsidRDefault="00396B48" w:rsidP="00396B48">
      <w:pPr>
        <w:jc w:val="center"/>
        <w:rPr>
          <w:b/>
          <w:sz w:val="10"/>
          <w:szCs w:val="10"/>
          <w:lang w:val="es-BO"/>
        </w:rPr>
      </w:pPr>
    </w:p>
    <w:p w:rsidR="00396B48" w:rsidRDefault="00396B48" w:rsidP="00396B48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396B48" w:rsidRPr="00103827" w:rsidRDefault="00396B48" w:rsidP="00396B48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96B48" w:rsidRPr="00F75995" w:rsidTr="00B6629B">
        <w:trPr>
          <w:trHeight w:val="27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96B48" w:rsidRPr="00F75995" w:rsidRDefault="00396B48" w:rsidP="00396B4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96B48" w:rsidRPr="00F75995" w:rsidTr="00B6629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F75995" w:rsidRDefault="00396B48" w:rsidP="00B6629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96B48" w:rsidRPr="00F75995" w:rsidTr="00B6629B">
        <w:trPr>
          <w:trHeight w:val="334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F75995" w:rsidTr="00B6629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</w:t>
            </w:r>
            <w:r w:rsidRPr="0076165E">
              <w:rPr>
                <w:rFonts w:ascii="Arial" w:hAnsi="Arial" w:cs="Arial"/>
                <w:lang w:val="es-BO"/>
              </w:rPr>
              <w:t>P</w:t>
            </w:r>
            <w:r>
              <w:rPr>
                <w:rFonts w:ascii="Arial" w:hAnsi="Arial" w:cs="Arial"/>
                <w:lang w:val="es-BO"/>
              </w:rPr>
              <w:t xml:space="preserve"> Nº 049/2025-1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F75995" w:rsidTr="00B6629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96B48" w:rsidRPr="00F75995" w:rsidRDefault="00852F4D" w:rsidP="00B6629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  <w:bookmarkStart w:id="1" w:name="_GoBack"/>
            <w:bookmarkEnd w:id="1"/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96B48" w:rsidRPr="00F75995" w:rsidRDefault="00396B48" w:rsidP="00B6629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96B48" w:rsidRPr="00F75995" w:rsidTr="00B6629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82366B" w:rsidTr="00B6629B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2366B">
              <w:rPr>
                <w:rFonts w:ascii="Arial" w:hAnsi="Arial" w:cs="Arial"/>
                <w:b/>
                <w:lang w:val="es-BO"/>
              </w:rPr>
              <w:t xml:space="preserve">SERVICIO DE PROCESAMIENTO DE MATERIAL MONETARIO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82366B" w:rsidTr="00B6629B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2366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96B48" w:rsidRPr="0082366B" w:rsidTr="00B6629B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96B48" w:rsidRPr="0082366B" w:rsidTr="00B6629B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96B48" w:rsidRPr="0082366B" w:rsidTr="00B6629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96B48" w:rsidRPr="0082366B" w:rsidTr="00B6629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2366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96B48" w:rsidRPr="0082366B" w:rsidTr="00B6629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96B48" w:rsidRPr="0082366B" w:rsidTr="00B6629B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82366B">
              <w:rPr>
                <w:rFonts w:ascii="Arial" w:hAnsi="Arial" w:cs="Arial"/>
                <w:b/>
                <w:lang w:val="es-BO"/>
              </w:rPr>
              <w:t>Precio Unitario por paquete Bs</w:t>
            </w:r>
            <w:r>
              <w:rPr>
                <w:rFonts w:ascii="Arial" w:hAnsi="Arial" w:cs="Arial"/>
                <w:b/>
                <w:lang w:val="es-BO"/>
              </w:rPr>
              <w:t>12</w:t>
            </w:r>
            <w:r w:rsidRPr="0082366B">
              <w:rPr>
                <w:rFonts w:ascii="Arial" w:hAnsi="Arial" w:cs="Arial"/>
                <w:b/>
                <w:lang w:val="es-BO"/>
              </w:rPr>
              <w:t>,50 (</w:t>
            </w:r>
            <w:r>
              <w:rPr>
                <w:rFonts w:ascii="Arial" w:hAnsi="Arial" w:cs="Arial"/>
                <w:b/>
                <w:lang w:val="es-BO"/>
              </w:rPr>
              <w:t>Monto total presupuestado Bs704</w:t>
            </w:r>
            <w:r w:rsidRPr="0082366B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82366B">
              <w:rPr>
                <w:rFonts w:ascii="Arial" w:hAnsi="Arial" w:cs="Arial"/>
                <w:b/>
                <w:lang w:val="es-BO"/>
              </w:rPr>
              <w:t>,00)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96B48" w:rsidRPr="0082366B" w:rsidTr="00B6629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2366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6B48" w:rsidRPr="0082366B" w:rsidRDefault="00396B48" w:rsidP="00B6629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96B48" w:rsidRPr="0082366B" w:rsidRDefault="00396B48" w:rsidP="00B6629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82366B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82366B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96B48" w:rsidRPr="0082366B" w:rsidTr="00B6629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96B48" w:rsidRPr="0082366B" w:rsidTr="00B6629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both"/>
              <w:rPr>
                <w:rFonts w:ascii="Arial" w:hAnsi="Arial" w:cs="Arial"/>
                <w:lang w:val="es-BO"/>
              </w:rPr>
            </w:pPr>
            <w:r w:rsidRPr="002310B1">
              <w:rPr>
                <w:rFonts w:ascii="Arial" w:hAnsi="Arial" w:cs="Arial"/>
                <w:lang w:val="es-BO"/>
              </w:rPr>
              <w:t>El plazo de prestación del servicio será a partir del día hábil siguiente de la suscripción del contrato hasta el 31.12.2025 o hasta ejecutar el monto total presupuestado, lo que ocurra primero</w:t>
            </w:r>
            <w:r w:rsidRPr="0082366B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27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82366B" w:rsidTr="00B6629B">
        <w:trPr>
          <w:trHeight w:val="52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5022" w:rsidRDefault="00396B48" w:rsidP="00B6629B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2310B1">
              <w:rPr>
                <w:rFonts w:ascii="Arial" w:hAnsi="Arial" w:cs="Arial"/>
                <w:lang w:val="es-BO"/>
              </w:rPr>
              <w:t xml:space="preserve">El servicio será prestado en ambientes del edificio principal del BCB, ubicado </w:t>
            </w:r>
            <w:proofErr w:type="gramStart"/>
            <w:r w:rsidRPr="002310B1">
              <w:rPr>
                <w:rFonts w:ascii="Arial" w:hAnsi="Arial" w:cs="Arial"/>
                <w:lang w:val="es-BO"/>
              </w:rPr>
              <w:t>en  la</w:t>
            </w:r>
            <w:proofErr w:type="gramEnd"/>
            <w:r w:rsidRPr="002310B1">
              <w:rPr>
                <w:rFonts w:ascii="Arial" w:hAnsi="Arial" w:cs="Arial"/>
                <w:lang w:val="es-BO"/>
              </w:rPr>
              <w:t xml:space="preserve"> Calle  Ayacucho esquina Mercado s/n de la Zona Central de la ciudad de La Paz – Bolivia</w:t>
            </w:r>
            <w:r w:rsidRPr="0027560B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4E5022" w:rsidRDefault="00396B48" w:rsidP="00B6629B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396B48" w:rsidRPr="0082366B" w:rsidTr="00B6629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5022" w:rsidRDefault="00396B48" w:rsidP="00B6629B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0D2FD1">
              <w:rPr>
                <w:rFonts w:ascii="Arial" w:hAnsi="Arial" w:cs="Arial"/>
                <w:lang w:val="es-BO"/>
              </w:rPr>
              <w:t xml:space="preserve">Se retendrá el siete por ciento (7%) de cada pago realizado a fin de garantizar el cumplimiento del servicio por parte del Proveedor, de acuerdo con el Artículo 21 - Garantías según el objeto, del D.S. </w:t>
            </w:r>
            <w:r w:rsidRPr="00C55698">
              <w:rPr>
                <w:rFonts w:ascii="Arial" w:hAnsi="Arial" w:cs="Arial"/>
                <w:lang w:val="es-BO"/>
              </w:rPr>
              <w:t>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F75995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F75995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F75995" w:rsidTr="00B6629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6B48" w:rsidRPr="00F75995" w:rsidTr="00B6629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F75995" w:rsidRDefault="00396B48" w:rsidP="00B6629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96B48" w:rsidRPr="000E268F" w:rsidRDefault="00396B48" w:rsidP="00396B4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96B48" w:rsidRPr="00A40276" w:rsidTr="00B6629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6B48" w:rsidRPr="00A40276" w:rsidRDefault="00396B48" w:rsidP="00B6629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D3A48" w:rsidRDefault="00396B48" w:rsidP="00B662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96B48" w:rsidRPr="00A40276" w:rsidRDefault="00396B48" w:rsidP="00B6629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96B48" w:rsidRPr="00A40276" w:rsidRDefault="00396B48" w:rsidP="00B6629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96B48" w:rsidRPr="00A40276" w:rsidRDefault="00396B48" w:rsidP="00B6629B">
            <w:pPr>
              <w:rPr>
                <w:rFonts w:ascii="Arial" w:hAnsi="Arial" w:cs="Arial"/>
              </w:rPr>
            </w:pPr>
          </w:p>
        </w:tc>
      </w:tr>
      <w:tr w:rsidR="00396B48" w:rsidRPr="00A40276" w:rsidTr="00B6629B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A40276" w:rsidRDefault="00396B48" w:rsidP="00B662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A40276" w:rsidRDefault="00396B48" w:rsidP="00B662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6B48" w:rsidRPr="00A40276" w:rsidTr="00B6629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6B48" w:rsidRPr="00A40276" w:rsidRDefault="00396B48" w:rsidP="00B662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36686E" w:rsidRDefault="00396B48" w:rsidP="00B662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6B48" w:rsidRPr="00A40276" w:rsidRDefault="00396B48" w:rsidP="00B6629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96B48" w:rsidRPr="00A40276" w:rsidRDefault="00396B48" w:rsidP="00B6629B">
            <w:pPr>
              <w:rPr>
                <w:rFonts w:ascii="Arial" w:hAnsi="Arial" w:cs="Arial"/>
              </w:rPr>
            </w:pPr>
          </w:p>
        </w:tc>
      </w:tr>
      <w:tr w:rsidR="00396B48" w:rsidRPr="00A40276" w:rsidTr="00B6629B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103827" w:rsidRDefault="00396B48" w:rsidP="00B662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96B48" w:rsidRPr="0082366B" w:rsidTr="00B6629B">
        <w:trPr>
          <w:trHeight w:val="427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96B48" w:rsidRPr="0082366B" w:rsidRDefault="00396B48" w:rsidP="00B6629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2366B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sz w:val="12"/>
                <w:lang w:val="es-BO"/>
              </w:rPr>
            </w:pPr>
            <w:r w:rsidRPr="0082366B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A40276" w:rsidTr="00B6629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A40276" w:rsidRDefault="00396B48" w:rsidP="00B662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96B48" w:rsidRPr="00A40276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B48" w:rsidRPr="00A40276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96B48" w:rsidRPr="00A40276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96B48" w:rsidRPr="00A40276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96B48" w:rsidRPr="00545778" w:rsidTr="00B6629B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96B48" w:rsidRPr="00545778" w:rsidRDefault="00396B48" w:rsidP="00396B4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96B48" w:rsidRPr="00A40276" w:rsidTr="00B6629B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96B48" w:rsidRPr="00765F1B" w:rsidRDefault="00396B48" w:rsidP="00B6629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96B48" w:rsidRPr="00765F1B" w:rsidRDefault="00396B48" w:rsidP="00396B4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396B48" w:rsidRPr="00A40276" w:rsidRDefault="00396B48" w:rsidP="00B6629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96B48" w:rsidRPr="00545778" w:rsidTr="00B6629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545778" w:rsidRDefault="00396B48" w:rsidP="00B6629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96B48" w:rsidRPr="0082366B" w:rsidTr="00B6629B">
        <w:trPr>
          <w:trHeight w:val="430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 w:eastAsia="es-BO"/>
              </w:rPr>
              <w:t>08:00</w:t>
            </w:r>
            <w:r w:rsidRPr="0082366B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82366B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96B48" w:rsidRPr="0082366B" w:rsidTr="00B6629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96B48" w:rsidRPr="0082366B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Administrativas:</w:t>
            </w:r>
          </w:p>
          <w:p w:rsidR="00396B48" w:rsidRPr="0082366B" w:rsidRDefault="00396B48" w:rsidP="00B6629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96B48" w:rsidRPr="0082366B" w:rsidRDefault="00396B48" w:rsidP="00B6629B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82366B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2366B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2366B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2366B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96B48" w:rsidRPr="0082366B" w:rsidTr="00B6629B">
        <w:trPr>
          <w:trHeight w:val="444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Eugenia Poma Fernandez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82366B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82366B" w:rsidTr="00B6629B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Grover Mamani Quispe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Gestión del Material Monetario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82366B" w:rsidRDefault="00396B48" w:rsidP="00B6629B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2366B"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Tesorería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82366B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545778" w:rsidTr="00B6629B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545778" w:rsidRDefault="00396B48" w:rsidP="00B6629B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96B48" w:rsidRPr="00A40276" w:rsidTr="00B6629B">
        <w:trPr>
          <w:trHeight w:val="710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96B48" w:rsidRPr="00A40276" w:rsidRDefault="00396B48" w:rsidP="00B6629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FC2F68" w:rsidRDefault="00396B48" w:rsidP="00B6629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96B48" w:rsidRPr="0006032F" w:rsidRDefault="00396B48" w:rsidP="00B6629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4709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96B48" w:rsidRPr="00A40276" w:rsidRDefault="00396B48" w:rsidP="00B662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2075</w:t>
            </w:r>
            <w:r w:rsidRPr="0082366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82366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B48" w:rsidRPr="00A40276" w:rsidRDefault="00396B48" w:rsidP="00B6629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A40276" w:rsidRDefault="00396B48" w:rsidP="00B6629B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6B48" w:rsidRPr="00A40276" w:rsidRDefault="00396B48" w:rsidP="00B6629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6032F" w:rsidRDefault="00852F4D" w:rsidP="00B6629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396B48" w:rsidRPr="00B76A6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396B48" w:rsidRPr="0006032F" w:rsidRDefault="00396B48" w:rsidP="00B6629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96B48" w:rsidRPr="0006032F" w:rsidRDefault="00852F4D" w:rsidP="00B6629B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6" w:history="1">
              <w:r w:rsidR="00396B48" w:rsidRPr="00B76A6C">
                <w:rPr>
                  <w:rStyle w:val="Hipervnculo"/>
                  <w:rFonts w:ascii="Arial" w:hAnsi="Arial"/>
                  <w:sz w:val="12"/>
                  <w:szCs w:val="14"/>
                  <w:lang w:val="es-BO" w:eastAsia="es-BO"/>
                </w:rPr>
                <w:t>gqmamani@bcb.gob.bo</w:t>
              </w:r>
            </w:hyperlink>
            <w:r w:rsidR="00396B48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</w:p>
          <w:p w:rsidR="00396B48" w:rsidRPr="00A40276" w:rsidRDefault="00396B48" w:rsidP="00B6629B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96B48" w:rsidRPr="00A40276" w:rsidRDefault="00396B48" w:rsidP="00B6629B">
            <w:pPr>
              <w:rPr>
                <w:rFonts w:ascii="Arial" w:hAnsi="Arial" w:cs="Arial"/>
                <w:lang w:val="es-BO"/>
              </w:rPr>
            </w:pPr>
          </w:p>
        </w:tc>
      </w:tr>
      <w:tr w:rsidR="00396B48" w:rsidRPr="00545778" w:rsidTr="00B6629B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96B48" w:rsidRPr="00A40276" w:rsidTr="00B6629B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96B48" w:rsidRPr="00570491" w:rsidRDefault="00396B48" w:rsidP="00B6629B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396B48" w:rsidRPr="00087393" w:rsidRDefault="00396B48" w:rsidP="00B6629B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C52AB" w:rsidRDefault="00396B48" w:rsidP="00B6629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396B48" w:rsidRPr="004C52AB" w:rsidRDefault="00396B48" w:rsidP="00B6629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396B48" w:rsidRPr="004C52AB" w:rsidRDefault="00396B48" w:rsidP="00B6629B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396B48" w:rsidRPr="0036686E" w:rsidRDefault="00396B48" w:rsidP="00B6629B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96B48" w:rsidRPr="00A40276" w:rsidRDefault="00396B48" w:rsidP="00B662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96B48" w:rsidRPr="00545778" w:rsidTr="00B6629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96B48" w:rsidRPr="00545778" w:rsidRDefault="00396B48" w:rsidP="00B662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96B48" w:rsidRDefault="00396B48" w:rsidP="00396B48">
      <w:pPr>
        <w:rPr>
          <w:lang w:val="es-BO"/>
        </w:rPr>
      </w:pPr>
    </w:p>
    <w:p w:rsidR="00396B48" w:rsidRPr="0076165E" w:rsidRDefault="00396B48" w:rsidP="00396B48">
      <w:pPr>
        <w:rPr>
          <w:lang w:val="es-BO"/>
        </w:rPr>
      </w:pPr>
    </w:p>
    <w:p w:rsidR="00396B48" w:rsidRDefault="00396B48" w:rsidP="00396B48">
      <w:pPr>
        <w:pStyle w:val="Puesto"/>
        <w:numPr>
          <w:ilvl w:val="0"/>
          <w:numId w:val="1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396B48" w:rsidRPr="000F4811" w:rsidRDefault="00396B48" w:rsidP="00396B48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96B48" w:rsidRPr="00A40276" w:rsidTr="00B6629B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96B48" w:rsidRPr="006E3F2F" w:rsidRDefault="00396B48" w:rsidP="00B6629B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396B48" w:rsidRPr="006E3F2F" w:rsidRDefault="00396B48" w:rsidP="00396B4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396B48" w:rsidRPr="006E3F2F" w:rsidRDefault="00396B48" w:rsidP="00396B4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396B48" w:rsidRPr="006E3F2F" w:rsidRDefault="00396B48" w:rsidP="00396B4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96B48" w:rsidRPr="006E3F2F" w:rsidRDefault="00396B48" w:rsidP="00B6629B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96B48" w:rsidRPr="006E3F2F" w:rsidRDefault="00396B48" w:rsidP="00396B4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96B48" w:rsidRPr="006E3F2F" w:rsidRDefault="00396B48" w:rsidP="00396B4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96B48" w:rsidRPr="006E3F2F" w:rsidRDefault="00396B48" w:rsidP="00B6629B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96B48" w:rsidRDefault="00396B48" w:rsidP="00396B48">
      <w:pPr>
        <w:rPr>
          <w:lang w:val="es-BO"/>
        </w:rPr>
      </w:pPr>
    </w:p>
    <w:p w:rsidR="00396B48" w:rsidRPr="004B26AD" w:rsidRDefault="00396B48" w:rsidP="00396B4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96B48" w:rsidRPr="006E3F2F" w:rsidRDefault="00396B48" w:rsidP="00396B48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"/>
        <w:gridCol w:w="2948"/>
        <w:gridCol w:w="159"/>
        <w:gridCol w:w="75"/>
        <w:gridCol w:w="451"/>
        <w:gridCol w:w="159"/>
        <w:gridCol w:w="430"/>
        <w:gridCol w:w="159"/>
        <w:gridCol w:w="626"/>
        <w:gridCol w:w="161"/>
        <w:gridCol w:w="169"/>
        <w:gridCol w:w="371"/>
        <w:gridCol w:w="159"/>
        <w:gridCol w:w="363"/>
        <w:gridCol w:w="131"/>
        <w:gridCol w:w="29"/>
        <w:gridCol w:w="159"/>
        <w:gridCol w:w="3392"/>
        <w:gridCol w:w="152"/>
      </w:tblGrid>
      <w:tr w:rsidR="00396B48" w:rsidRPr="000C6821" w:rsidTr="00B6629B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96B48" w:rsidRPr="000C6821" w:rsidTr="00B6629B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96B48" w:rsidRPr="000C6821" w:rsidTr="00B6629B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80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ED791C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82366B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2B0B54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4E1F06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1F06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E1F06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E1F06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4E1F06" w:rsidTr="00B6629B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4E1F06" w:rsidTr="00B6629B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4E1F06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1F06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4E1F06" w:rsidTr="00B6629B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4E1F06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4E1F06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E1F0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E1F06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4E1F06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E1F06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FE22E8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16208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80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E3F2F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ED791C" w:rsidRDefault="00396B48" w:rsidP="00396B4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D791C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96B48" w:rsidRPr="00726BF3" w:rsidRDefault="00396B48" w:rsidP="00B6629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24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26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87393" w:rsidRDefault="00396B48" w:rsidP="00B6629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1772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Default="00396B48" w:rsidP="00B6629B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</w:t>
            </w:r>
            <w:r w:rsidRPr="0082366B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/>
            <w:r w:rsidRPr="0082366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96B48" w:rsidRPr="00ED791C" w:rsidRDefault="00396B48" w:rsidP="00B6629B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96B48" w:rsidRPr="00493E6A" w:rsidRDefault="00396B48" w:rsidP="00B6629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  <w:highlight w:val="yellow"/>
              </w:rPr>
            </w:pPr>
            <w:r w:rsidRPr="0078270A">
              <w:rPr>
                <w:rStyle w:val="Hipervnculo"/>
                <w:rFonts w:ascii="Arial" w:hAnsi="Arial"/>
                <w:sz w:val="14"/>
                <w:szCs w:val="14"/>
              </w:rPr>
              <w:t>https://bcb-gob-bo.zoom.us/j/88591901562?pwd=20o21depa47pLbw3WfBtg1P8cU8UEh.1</w:t>
            </w:r>
          </w:p>
          <w:p w:rsidR="00396B48" w:rsidRPr="00493E6A" w:rsidRDefault="00396B48" w:rsidP="00B6629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  <w:highlight w:val="yellow"/>
              </w:rPr>
            </w:pPr>
          </w:p>
          <w:p w:rsidR="00396B48" w:rsidRPr="0078270A" w:rsidRDefault="00396B48" w:rsidP="00B6629B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</w:rPr>
            </w:pPr>
            <w:r w:rsidRPr="0078270A">
              <w:rPr>
                <w:rStyle w:val="Hipervnculo"/>
                <w:rFonts w:ascii="Arial" w:hAnsi="Arial"/>
                <w:sz w:val="14"/>
                <w:szCs w:val="14"/>
              </w:rPr>
              <w:t>Meeting ID: 885 9190 1562</w:t>
            </w:r>
          </w:p>
          <w:p w:rsidR="00396B48" w:rsidRPr="00ED791C" w:rsidRDefault="00396B48" w:rsidP="00B6629B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proofErr w:type="spellStart"/>
            <w:r w:rsidRPr="0078270A">
              <w:rPr>
                <w:rStyle w:val="Hipervnculo"/>
                <w:rFonts w:ascii="Arial" w:hAnsi="Arial"/>
                <w:sz w:val="14"/>
                <w:szCs w:val="14"/>
              </w:rPr>
              <w:t>Passcode</w:t>
            </w:r>
            <w:proofErr w:type="spellEnd"/>
            <w:r w:rsidRPr="0078270A">
              <w:rPr>
                <w:rStyle w:val="Hipervnculo"/>
                <w:rFonts w:ascii="Arial" w:hAnsi="Arial"/>
                <w:sz w:val="14"/>
                <w:szCs w:val="14"/>
              </w:rPr>
              <w:t>: 585137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76165E" w:rsidRDefault="00396B48" w:rsidP="00B6629B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B48" w:rsidRPr="000C6821" w:rsidTr="00B6629B">
        <w:trPr>
          <w:trHeight w:val="431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6B48" w:rsidRPr="000C6821" w:rsidTr="00B6629B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96B48" w:rsidRPr="000C6821" w:rsidTr="00B6629B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96B48" w:rsidRPr="000C6821" w:rsidRDefault="00396B48" w:rsidP="00B662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96B48" w:rsidRPr="006E3F2F" w:rsidRDefault="00396B48" w:rsidP="00B662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B48" w:rsidRPr="006E3F2F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96B48" w:rsidRPr="000C6821" w:rsidRDefault="00396B48" w:rsidP="00B662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96B48" w:rsidRPr="000F4811" w:rsidRDefault="00396B48" w:rsidP="00396B48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73065D" w:rsidRPr="00396B48" w:rsidRDefault="0073065D" w:rsidP="00396B48"/>
    <w:sectPr w:rsidR="0073065D" w:rsidRPr="00396B48" w:rsidSect="00396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57"/>
    <w:rsid w:val="00396B48"/>
    <w:rsid w:val="00577057"/>
    <w:rsid w:val="0073065D"/>
    <w:rsid w:val="008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B168-5704-4E70-A984-BE3DD956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5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7705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57705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57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57705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57705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57705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57705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7705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77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7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qmamani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3</cp:revision>
  <dcterms:created xsi:type="dcterms:W3CDTF">2025-03-24T23:26:00Z</dcterms:created>
  <dcterms:modified xsi:type="dcterms:W3CDTF">2025-03-27T23:09:00Z</dcterms:modified>
</cp:coreProperties>
</file>