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D4" w:rsidRPr="00103827" w:rsidRDefault="00CD23D4" w:rsidP="00CD23D4">
      <w:pPr>
        <w:jc w:val="center"/>
        <w:rPr>
          <w:b/>
          <w:sz w:val="10"/>
          <w:szCs w:val="10"/>
          <w:lang w:val="es-BO"/>
        </w:rPr>
      </w:pPr>
    </w:p>
    <w:p w:rsidR="00CD23D4" w:rsidRDefault="00CD23D4" w:rsidP="00CD23D4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CD23D4" w:rsidRPr="00F75995" w:rsidTr="001449C6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D23D4" w:rsidRPr="00F75995" w:rsidRDefault="00CD23D4" w:rsidP="00CD23D4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CD23D4" w:rsidRPr="00F75995" w:rsidTr="001449C6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F75995" w:rsidRDefault="00CD23D4" w:rsidP="001449C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CD23D4" w:rsidRPr="00F75995" w:rsidTr="001449C6">
        <w:trPr>
          <w:trHeight w:val="2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F75995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3026CE" w:rsidRDefault="00CD23D4" w:rsidP="001449C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F75995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F75995" w:rsidTr="001449C6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F75995" w:rsidRDefault="00CD23D4" w:rsidP="001449C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074</w:t>
            </w:r>
            <w:r w:rsidRPr="00967E53">
              <w:rPr>
                <w:rFonts w:ascii="Arial" w:hAnsi="Arial" w:cs="Arial"/>
                <w:lang w:val="es-BO"/>
              </w:rPr>
              <w:t>/</w:t>
            </w:r>
            <w:r>
              <w:rPr>
                <w:rFonts w:ascii="Arial" w:hAnsi="Arial" w:cs="Arial"/>
                <w:lang w:val="es-BO"/>
              </w:rPr>
              <w:t>2025</w:t>
            </w:r>
            <w:r w:rsidRPr="00967E53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D4" w:rsidRPr="00967E53" w:rsidRDefault="00CD23D4" w:rsidP="001449C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D4" w:rsidRPr="00967E53" w:rsidRDefault="00CD23D4" w:rsidP="001449C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D4" w:rsidRPr="00967E53" w:rsidRDefault="00CD23D4" w:rsidP="001449C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23D4" w:rsidRPr="00967E53" w:rsidTr="001449C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43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SERVICIO IPS PARA FIREWALL PERIMETRAL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CD23D4" w:rsidRPr="00967E53" w:rsidTr="001449C6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CD23D4" w:rsidRPr="00967E53" w:rsidTr="001449C6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CD23D4" w:rsidRPr="00967E53" w:rsidTr="001449C6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CD23D4" w:rsidRPr="00967E53" w:rsidTr="001449C6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5F2D67" w:rsidRDefault="00CD23D4" w:rsidP="001449C6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sz w:val="16"/>
                <w:lang w:val="es-BO"/>
              </w:rPr>
              <w:t>Bs</w:t>
            </w:r>
            <w:r>
              <w:rPr>
                <w:rFonts w:ascii="Arial" w:hAnsi="Arial" w:cs="Arial"/>
                <w:sz w:val="16"/>
                <w:lang w:val="es-BO"/>
              </w:rPr>
              <w:t>500</w:t>
            </w:r>
            <w:r w:rsidRPr="005F2D67">
              <w:rPr>
                <w:rFonts w:ascii="Arial" w:hAnsi="Arial" w:cs="Arial"/>
                <w:sz w:val="16"/>
                <w:lang w:val="es-BO"/>
              </w:rPr>
              <w:t>.</w:t>
            </w:r>
            <w:r>
              <w:rPr>
                <w:rFonts w:ascii="Arial" w:hAnsi="Arial" w:cs="Arial"/>
                <w:sz w:val="16"/>
                <w:lang w:val="es-BO"/>
              </w:rPr>
              <w:t>000</w:t>
            </w:r>
            <w:r w:rsidRPr="005F2D67">
              <w:rPr>
                <w:rFonts w:ascii="Arial" w:hAnsi="Arial" w:cs="Arial"/>
                <w:sz w:val="16"/>
                <w:lang w:val="es-BO"/>
              </w:rPr>
              <w:t>,00</w:t>
            </w:r>
            <w:r>
              <w:rPr>
                <w:rFonts w:ascii="Arial" w:hAnsi="Arial" w:cs="Arial"/>
                <w:sz w:val="16"/>
                <w:lang w:val="es-BO"/>
              </w:rPr>
              <w:t xml:space="preserve"> (Quinientos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967E53" w:rsidRDefault="00CD23D4" w:rsidP="001449C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CD23D4" w:rsidRPr="00967E53" w:rsidRDefault="00CD23D4" w:rsidP="001449C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D23D4" w:rsidRPr="00967E53" w:rsidTr="001449C6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7A492F" w:rsidRDefault="00CD23D4" w:rsidP="001449C6">
            <w:pPr>
              <w:pStyle w:val="Textoindependiente3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50983">
              <w:rPr>
                <w:rFonts w:ascii="Arial" w:hAnsi="Arial" w:cs="Arial"/>
                <w:b/>
              </w:rPr>
              <w:t>Plazo de</w:t>
            </w:r>
            <w:r>
              <w:rPr>
                <w:rFonts w:ascii="Arial" w:hAnsi="Arial" w:cs="Arial"/>
                <w:b/>
              </w:rPr>
              <w:t xml:space="preserve"> Prestación de </w:t>
            </w:r>
            <w:r w:rsidRPr="00450983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os</w:t>
            </w:r>
            <w:r w:rsidRPr="00450983">
              <w:rPr>
                <w:rFonts w:ascii="Arial" w:hAnsi="Arial" w:cs="Arial"/>
                <w:b/>
              </w:rPr>
              <w:t xml:space="preserve"> Servicio</w:t>
            </w:r>
            <w:r>
              <w:rPr>
                <w:rFonts w:ascii="Arial" w:hAnsi="Arial" w:cs="Arial"/>
                <w:b/>
              </w:rPr>
              <w:t>s</w:t>
            </w:r>
            <w:r w:rsidRPr="000431A6">
              <w:rPr>
                <w:rFonts w:ascii="Arial" w:hAnsi="Arial" w:cs="Arial"/>
              </w:rPr>
              <w:t xml:space="preserve">. </w:t>
            </w:r>
            <w:r w:rsidRPr="00362317">
              <w:rPr>
                <w:rFonts w:ascii="Arial" w:hAnsi="Arial" w:cs="Arial"/>
                <w:bCs/>
                <w:szCs w:val="18"/>
              </w:rPr>
              <w:t>El plazo de la prestación de los servicios deberá ser de un (1) año calendario, computables a partir de la fecha establecida en la orden de proceder.</w:t>
            </w:r>
          </w:p>
          <w:p w:rsidR="00CD23D4" w:rsidRPr="007A492F" w:rsidRDefault="00CD23D4" w:rsidP="001449C6">
            <w:pPr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:rsidR="00CD23D4" w:rsidRPr="00967E53" w:rsidRDefault="00CD23D4" w:rsidP="001449C6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7A492F">
              <w:rPr>
                <w:rFonts w:ascii="Arial" w:hAnsi="Arial" w:cs="Arial"/>
                <w:b/>
                <w:bCs/>
              </w:rPr>
              <w:t xml:space="preserve">ctivación: </w:t>
            </w:r>
            <w:r w:rsidRPr="00362317">
              <w:rPr>
                <w:rFonts w:ascii="Arial" w:hAnsi="Arial" w:cs="Arial"/>
                <w:bCs/>
                <w:szCs w:val="18"/>
              </w:rPr>
              <w:t xml:space="preserve">El </w:t>
            </w:r>
            <w:proofErr w:type="gramStart"/>
            <w:r w:rsidRPr="00362317">
              <w:rPr>
                <w:rFonts w:ascii="Arial" w:hAnsi="Arial" w:cs="Arial"/>
                <w:bCs/>
                <w:szCs w:val="18"/>
              </w:rPr>
              <w:t>plazo  de</w:t>
            </w:r>
            <w:proofErr w:type="gramEnd"/>
            <w:r w:rsidRPr="00362317">
              <w:rPr>
                <w:rFonts w:ascii="Arial" w:hAnsi="Arial" w:cs="Arial"/>
                <w:bCs/>
                <w:szCs w:val="18"/>
              </w:rPr>
              <w:t xml:space="preserve"> activación correrá a partir del siguiente día hábil posterior a la firma del contrato hasta la fecha establecida en la orden de proceder. El proveedor deberá demostrar las activaciones del servicio a nombre del Banco Central de Bolivia por un período de un (1) año calendario mediante la entrega de la documentación respectiva descrita en el punto 4 de esta sección.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CD23D4" w:rsidRPr="004A6084" w:rsidRDefault="00CD23D4" w:rsidP="001449C6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both"/>
              <w:rPr>
                <w:rFonts w:ascii="Arial" w:hAnsi="Arial" w:cs="Arial"/>
                <w:lang w:val="es-BO"/>
              </w:rPr>
            </w:pPr>
            <w:r w:rsidRPr="00362317">
              <w:rPr>
                <w:rFonts w:ascii="Arial" w:hAnsi="Arial" w:cs="Arial"/>
                <w:lang w:val="es-BO"/>
              </w:rPr>
              <w:t>Los servicios serán prestados en el edificio principal del Banco Central de Bolivia (Ayacucho y Mercado) en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967E53" w:rsidTr="001449C6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E2A9B" w:rsidRDefault="00CD23D4" w:rsidP="001449C6">
            <w:pPr>
              <w:jc w:val="both"/>
              <w:rPr>
                <w:rFonts w:ascii="Arial" w:hAnsi="Arial" w:cs="Arial"/>
                <w:lang w:val="es-BO"/>
              </w:rPr>
            </w:pPr>
            <w:r w:rsidRPr="009E2A9B">
              <w:rPr>
                <w:rFonts w:ascii="Arial" w:hAnsi="Arial" w:cs="Arial"/>
                <w:lang w:val="es-BO"/>
              </w:rPr>
              <w:t xml:space="preserve">El proponente adjudicado debe presentar la Garantía de cumplimiento de contrato por el siete por ciento (7%) del monto total del contrato, de acuerdo con el “Artículo 20).”, Tipos de garantía del D.S. N° 181, la vigencia deberá ser hasta la finalización del plazo de prestación servicio. El proveedor podrá elegir el tipo de garantía entre las siguientes modalidades: </w:t>
            </w:r>
          </w:p>
          <w:p w:rsidR="00CD23D4" w:rsidRPr="009E2A9B" w:rsidRDefault="00CD23D4" w:rsidP="001449C6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9E2A9B">
              <w:rPr>
                <w:rFonts w:ascii="Arial" w:hAnsi="Arial" w:cs="Arial"/>
                <w:lang w:val="es-BO"/>
              </w:rPr>
              <w:t>a)</w:t>
            </w:r>
            <w:r w:rsidRPr="009E2A9B">
              <w:rPr>
                <w:rFonts w:ascii="Arial" w:hAnsi="Arial" w:cs="Arial"/>
                <w:lang w:val="es-BO"/>
              </w:rPr>
              <w:tab/>
              <w:t>Boleta de garantía.</w:t>
            </w:r>
          </w:p>
          <w:p w:rsidR="00CD23D4" w:rsidRPr="009E2A9B" w:rsidRDefault="00CD23D4" w:rsidP="001449C6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9E2A9B">
              <w:rPr>
                <w:rFonts w:ascii="Arial" w:hAnsi="Arial" w:cs="Arial"/>
                <w:lang w:val="es-BO"/>
              </w:rPr>
              <w:t>b)</w:t>
            </w:r>
            <w:r w:rsidRPr="009E2A9B">
              <w:rPr>
                <w:rFonts w:ascii="Arial" w:hAnsi="Arial" w:cs="Arial"/>
                <w:lang w:val="es-BO"/>
              </w:rPr>
              <w:tab/>
              <w:t>Garantía a primer requerimiento.</w:t>
            </w:r>
          </w:p>
          <w:p w:rsidR="00CD23D4" w:rsidRPr="009E2A9B" w:rsidRDefault="00CD23D4" w:rsidP="001449C6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9E2A9B">
              <w:rPr>
                <w:rFonts w:ascii="Arial" w:hAnsi="Arial" w:cs="Arial"/>
                <w:lang w:val="es-BO"/>
              </w:rPr>
              <w:t>c)</w:t>
            </w:r>
            <w:r w:rsidRPr="009E2A9B">
              <w:rPr>
                <w:rFonts w:ascii="Arial" w:hAnsi="Arial" w:cs="Arial"/>
                <w:lang w:val="es-BO"/>
              </w:rPr>
              <w:tab/>
              <w:t>Póliza de Seguro de Caución a Primer Requerimiento (Renovable, Irrevocable y de Ejecución a Primer Requerimiento).</w:t>
            </w:r>
          </w:p>
          <w:p w:rsidR="00CD23D4" w:rsidRPr="005F2D67" w:rsidRDefault="00CD23D4" w:rsidP="001449C6">
            <w:pPr>
              <w:jc w:val="both"/>
              <w:rPr>
                <w:rFonts w:ascii="Arial" w:hAnsi="Arial" w:cs="Arial"/>
                <w:lang w:val="es-BO"/>
              </w:rPr>
            </w:pPr>
            <w:r w:rsidRPr="009E2A9B">
              <w:rPr>
                <w:rFonts w:ascii="Arial" w:hAnsi="Arial" w:cs="Arial"/>
                <w:lang w:val="es-BO"/>
              </w:rPr>
              <w:t>La garantía será devuelta, una vez emitido el informe final conformidad del servicio, emitido por el responsable de recepción y posterior a la liquidación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F75995" w:rsidTr="001449C6">
        <w:trPr>
          <w:trHeight w:val="182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F75995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F75995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F75995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F75995" w:rsidTr="001449C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3D4" w:rsidRPr="00F75995" w:rsidTr="001449C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F75995" w:rsidRDefault="00CD23D4" w:rsidP="001449C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D23D4" w:rsidRPr="000E268F" w:rsidRDefault="00CD23D4" w:rsidP="00CD23D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CD23D4" w:rsidRPr="00A40276" w:rsidTr="001449C6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D23D4" w:rsidRPr="00A40276" w:rsidRDefault="00CD23D4" w:rsidP="001449C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D3A48" w:rsidRDefault="00CD23D4" w:rsidP="001449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CD23D4" w:rsidRPr="00A40276" w:rsidRDefault="00CD23D4" w:rsidP="001449C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CD23D4" w:rsidRPr="00A40276" w:rsidRDefault="00CD23D4" w:rsidP="001449C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</w:rPr>
            </w:pPr>
          </w:p>
        </w:tc>
      </w:tr>
      <w:tr w:rsidR="00CD23D4" w:rsidRPr="00A40276" w:rsidTr="001449C6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A40276" w:rsidRDefault="00CD23D4" w:rsidP="001449C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D23D4" w:rsidRPr="00A40276" w:rsidRDefault="00CD23D4" w:rsidP="001449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3D4" w:rsidRPr="00A40276" w:rsidTr="001449C6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D23D4" w:rsidRPr="00A40276" w:rsidRDefault="00CD23D4" w:rsidP="001449C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0D0D93" w:rsidRDefault="00CD23D4" w:rsidP="001449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D23D4" w:rsidRPr="00A40276" w:rsidRDefault="00CD23D4" w:rsidP="001449C6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</w:rPr>
            </w:pPr>
          </w:p>
        </w:tc>
      </w:tr>
      <w:tr w:rsidR="00CD23D4" w:rsidRPr="00A40276" w:rsidTr="001449C6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103827" w:rsidRDefault="00CD23D4" w:rsidP="001449C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CD23D4" w:rsidRPr="00967E53" w:rsidTr="001449C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D23D4" w:rsidRPr="00967E53" w:rsidRDefault="00CD23D4" w:rsidP="001449C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967E53" w:rsidTr="001449C6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rPr>
                <w:rFonts w:ascii="Arial" w:hAnsi="Arial" w:cs="Arial"/>
                <w:sz w:val="12"/>
                <w:lang w:val="es-BO"/>
              </w:rPr>
            </w:pPr>
            <w:r w:rsidRPr="00967E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A40276" w:rsidTr="001449C6">
        <w:tc>
          <w:tcPr>
            <w:tcW w:w="1558" w:type="dxa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vAlign w:val="center"/>
          </w:tcPr>
          <w:p w:rsidR="00CD23D4" w:rsidRPr="00A40276" w:rsidRDefault="00CD23D4" w:rsidP="001449C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CD23D4" w:rsidRPr="00A40276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3D4" w:rsidRPr="00A40276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23D4" w:rsidRPr="00545778" w:rsidTr="001449C6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CD23D4" w:rsidRPr="00545778" w:rsidRDefault="00CD23D4" w:rsidP="00CD23D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CD23D4" w:rsidRPr="00A40276" w:rsidTr="001449C6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CD23D4" w:rsidRPr="00765F1B" w:rsidRDefault="00CD23D4" w:rsidP="001449C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D23D4" w:rsidRPr="00765F1B" w:rsidRDefault="00CD23D4" w:rsidP="00CD23D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CD23D4" w:rsidRPr="00A40276" w:rsidRDefault="00CD23D4" w:rsidP="001449C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D23D4" w:rsidRPr="00545778" w:rsidTr="001449C6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545778" w:rsidRDefault="00CD23D4" w:rsidP="001449C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23D4" w:rsidRPr="00967E53" w:rsidTr="001449C6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D4" w:rsidRPr="00967E53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967E53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967E53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967E53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967E53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545778" w:rsidTr="001449C6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545778" w:rsidRDefault="00CD23D4" w:rsidP="001449C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23D4" w:rsidRPr="00A40276" w:rsidTr="001449C6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CD23D4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CD23D4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CD23D4" w:rsidRPr="00545778" w:rsidRDefault="00CD23D4" w:rsidP="001449C6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CD23D4" w:rsidRPr="00A40276" w:rsidRDefault="00CD23D4" w:rsidP="001449C6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D23D4" w:rsidRPr="00A40276" w:rsidTr="001449C6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A50260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A50260">
              <w:rPr>
                <w:rFonts w:ascii="Arial" w:hAnsi="Arial" w:cs="Arial"/>
                <w:sz w:val="14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A40276" w:rsidTr="001449C6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E34A35" w:rsidRDefault="00CD23D4" w:rsidP="001449C6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Wilder Quisbert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E34A35" w:rsidRDefault="00CD23D4" w:rsidP="001449C6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D21C60" w:rsidRDefault="00CD23D4" w:rsidP="001449C6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 w:rsidRPr="00844B89">
              <w:rPr>
                <w:rFonts w:ascii="Arial" w:hAnsi="Arial" w:cs="Arial"/>
                <w:sz w:val="14"/>
              </w:rPr>
              <w:t xml:space="preserve">Administrador De </w:t>
            </w:r>
            <w:r>
              <w:rPr>
                <w:rFonts w:ascii="Arial" w:hAnsi="Arial" w:cs="Arial"/>
                <w:sz w:val="14"/>
              </w:rPr>
              <w:t>Redes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E34A35" w:rsidRDefault="00CD23D4" w:rsidP="001449C6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E34A35" w:rsidRDefault="00CD23D4" w:rsidP="001449C6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Dpto. de Base de Datos y Comunicaciones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545778" w:rsidTr="001449C6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545778" w:rsidRDefault="00CD23D4" w:rsidP="001449C6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D23D4" w:rsidRPr="00A40276" w:rsidTr="001449C6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D23D4" w:rsidRPr="00A40276" w:rsidRDefault="00CD23D4" w:rsidP="001449C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FC2F68" w:rsidRDefault="00CD23D4" w:rsidP="001449C6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CD23D4" w:rsidRPr="0006032F" w:rsidRDefault="00CD23D4" w:rsidP="001449C6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A40276" w:rsidRDefault="00CD23D4" w:rsidP="001449C6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D23D4" w:rsidRPr="009E2A9B" w:rsidRDefault="00CD23D4" w:rsidP="001449C6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hyperlink r:id="rId5" w:history="1">
              <w:r w:rsidRPr="00E94F2D">
                <w:rPr>
                  <w:rStyle w:val="Hipervnculo"/>
                  <w:rFonts w:ascii="Arial" w:hAnsi="Arial" w:cs="Arial"/>
                  <w:sz w:val="13"/>
                  <w:szCs w:val="13"/>
                  <w:lang w:val="pt-BR" w:eastAsia="es-BO"/>
                </w:rPr>
                <w:t>calba@bcb.gob.bo</w:t>
              </w:r>
            </w:hyperlink>
          </w:p>
          <w:p w:rsidR="00CD23D4" w:rsidRPr="009E2A9B" w:rsidRDefault="00CD23D4" w:rsidP="001449C6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9E2A9B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9E2A9B">
                <w:rPr>
                  <w:rStyle w:val="Hipervnculo"/>
                  <w:sz w:val="13"/>
                  <w:szCs w:val="13"/>
                </w:rPr>
                <w:t>wquisbert@bcb.gob.bo</w:t>
              </w:r>
            </w:hyperlink>
            <w:r w:rsidRPr="009E2A9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D23D4" w:rsidRPr="00A40276" w:rsidRDefault="00CD23D4" w:rsidP="001449C6">
            <w:pPr>
              <w:rPr>
                <w:rFonts w:ascii="Arial" w:hAnsi="Arial" w:cs="Arial"/>
                <w:lang w:val="es-BO"/>
              </w:rPr>
            </w:pPr>
          </w:p>
        </w:tc>
      </w:tr>
      <w:tr w:rsidR="00CD23D4" w:rsidRPr="00545778" w:rsidTr="001449C6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D23D4" w:rsidRPr="00A40276" w:rsidTr="001449C6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D23D4" w:rsidRPr="00CB5BDF" w:rsidRDefault="00CD23D4" w:rsidP="001449C6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CD23D4" w:rsidRPr="00CB5BDF" w:rsidRDefault="00CD23D4" w:rsidP="001449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E34A35" w:rsidRDefault="00CD23D4" w:rsidP="001449C6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Número de Cuenta: 10000041173216</w:t>
            </w:r>
          </w:p>
          <w:p w:rsidR="00CD23D4" w:rsidRPr="00E34A35" w:rsidRDefault="00CD23D4" w:rsidP="001449C6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Banco: Banco Unión S.A.</w:t>
            </w:r>
          </w:p>
          <w:p w:rsidR="00CD23D4" w:rsidRPr="00E34A35" w:rsidRDefault="00CD23D4" w:rsidP="001449C6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Titular: Tesoro General de la Nación</w:t>
            </w:r>
          </w:p>
          <w:p w:rsidR="00CD23D4" w:rsidRDefault="00CD23D4" w:rsidP="001449C6">
            <w:pPr>
              <w:rPr>
                <w:rFonts w:ascii="Arial" w:hAnsi="Arial" w:cs="Arial"/>
                <w:sz w:val="14"/>
                <w:lang w:val="es-BO"/>
              </w:rPr>
            </w:pPr>
            <w:r w:rsidRPr="00E34A35">
              <w:rPr>
                <w:rFonts w:ascii="Arial" w:hAnsi="Arial" w:cs="Arial"/>
                <w:sz w:val="14"/>
                <w:lang w:val="es-BO"/>
              </w:rPr>
              <w:t>Moneda: Bolivianos.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:rsidR="00CD23D4" w:rsidRPr="009E2A9B" w:rsidRDefault="00CD23D4" w:rsidP="001449C6">
            <w:pPr>
              <w:rPr>
                <w:rFonts w:ascii="Arial" w:hAnsi="Arial" w:cs="Arial"/>
                <w:b/>
                <w:sz w:val="14"/>
                <w:highlight w:val="yellow"/>
                <w:lang w:val="es-BO"/>
              </w:rPr>
            </w:pPr>
            <w:r w:rsidRPr="009E2A9B">
              <w:rPr>
                <w:rFonts w:ascii="Arial" w:hAnsi="Arial" w:cs="Arial"/>
                <w:b/>
                <w:sz w:val="14"/>
                <w:highlight w:val="yellow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D23D4" w:rsidRPr="00A40276" w:rsidRDefault="00CD23D4" w:rsidP="001449C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23D4" w:rsidRPr="00545778" w:rsidTr="001449C6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3D4" w:rsidRPr="00545778" w:rsidRDefault="00CD23D4" w:rsidP="001449C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CD23D4" w:rsidRDefault="00CD23D4" w:rsidP="00CD23D4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CD23D4" w:rsidRDefault="00CD23D4" w:rsidP="00CD23D4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D23D4" w:rsidRPr="00A40276" w:rsidTr="001449C6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23D4" w:rsidRPr="00492D3E" w:rsidRDefault="00CD23D4" w:rsidP="001449C6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D23D4" w:rsidRPr="00492D3E" w:rsidRDefault="00CD23D4" w:rsidP="00CD23D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CD23D4" w:rsidRPr="00492D3E" w:rsidRDefault="00CD23D4" w:rsidP="00CD23D4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CD23D4" w:rsidRPr="00492D3E" w:rsidRDefault="00CD23D4" w:rsidP="00CD23D4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D23D4" w:rsidRPr="00492D3E" w:rsidRDefault="00CD23D4" w:rsidP="001449C6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CD23D4" w:rsidRPr="00492D3E" w:rsidRDefault="00CD23D4" w:rsidP="00CD23D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CD23D4" w:rsidRPr="00492D3E" w:rsidRDefault="00CD23D4" w:rsidP="00CD23D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CD23D4" w:rsidRPr="00492D3E" w:rsidRDefault="00CD23D4" w:rsidP="001449C6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CD23D4" w:rsidRDefault="00CD23D4" w:rsidP="00CD23D4">
      <w:pPr>
        <w:rPr>
          <w:lang w:val="es-BO"/>
        </w:rPr>
      </w:pPr>
    </w:p>
    <w:p w:rsidR="00CD23D4" w:rsidRDefault="00CD23D4" w:rsidP="00CD23D4">
      <w:pPr>
        <w:rPr>
          <w:lang w:val="es-BO"/>
        </w:rPr>
      </w:pPr>
      <w:bookmarkStart w:id="2" w:name="_GoBack"/>
      <w:bookmarkEnd w:id="2"/>
    </w:p>
    <w:p w:rsidR="00CD23D4" w:rsidRPr="004B26AD" w:rsidRDefault="00CD23D4" w:rsidP="00CD23D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D23D4" w:rsidRPr="000C6821" w:rsidRDefault="00CD23D4" w:rsidP="00CD23D4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8"/>
        <w:gridCol w:w="7"/>
        <w:gridCol w:w="251"/>
        <w:gridCol w:w="62"/>
        <w:gridCol w:w="116"/>
        <w:gridCol w:w="134"/>
        <w:gridCol w:w="104"/>
        <w:gridCol w:w="134"/>
        <w:gridCol w:w="341"/>
        <w:gridCol w:w="134"/>
        <w:gridCol w:w="506"/>
        <w:gridCol w:w="119"/>
        <w:gridCol w:w="16"/>
        <w:gridCol w:w="135"/>
        <w:gridCol w:w="292"/>
        <w:gridCol w:w="135"/>
        <w:gridCol w:w="292"/>
        <w:gridCol w:w="135"/>
        <w:gridCol w:w="135"/>
        <w:gridCol w:w="2897"/>
        <w:gridCol w:w="134"/>
      </w:tblGrid>
      <w:tr w:rsidR="00CD23D4" w:rsidRPr="000C6821" w:rsidTr="00CD23D4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D23D4" w:rsidRPr="000C6821" w:rsidTr="00CD23D4">
        <w:trPr>
          <w:trHeight w:val="284"/>
          <w:tblHeader/>
        </w:trPr>
        <w:tc>
          <w:tcPr>
            <w:tcW w:w="151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1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D23D4" w:rsidRPr="000C6821" w:rsidTr="00CD23D4">
        <w:trPr>
          <w:trHeight w:val="130"/>
        </w:trPr>
        <w:tc>
          <w:tcPr>
            <w:tcW w:w="16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593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235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53"/>
        </w:trPr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299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53"/>
        </w:trPr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293"/>
        </w:trPr>
        <w:tc>
          <w:tcPr>
            <w:tcW w:w="16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655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4956B1" w:rsidRDefault="00CD23D4" w:rsidP="001449C6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CD23D4" w:rsidRPr="004956B1" w:rsidRDefault="00CD23D4" w:rsidP="001449C6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CD23D4" w:rsidRPr="004956B1" w:rsidRDefault="00CD23D4" w:rsidP="001449C6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CD23D4" w:rsidRPr="004956B1" w:rsidRDefault="00CD23D4" w:rsidP="001449C6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CD23D4" w:rsidRPr="004956B1" w:rsidRDefault="00CD23D4" w:rsidP="001449C6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CD23D4" w:rsidRPr="004956B1" w:rsidRDefault="00CD23D4" w:rsidP="001449C6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CD23D4" w:rsidRPr="004956B1" w:rsidRDefault="00CD23D4" w:rsidP="00CD23D4">
            <w:pPr>
              <w:numPr>
                <w:ilvl w:val="0"/>
                <w:numId w:val="5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CD23D4" w:rsidRDefault="00CD23D4" w:rsidP="001449C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  <w:p w:rsidR="00CD23D4" w:rsidRDefault="00CD23D4" w:rsidP="001449C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</w:p>
          <w:p w:rsidR="00CD23D4" w:rsidRPr="004A6084" w:rsidRDefault="00CD23D4" w:rsidP="00CD23D4">
            <w:pPr>
              <w:pStyle w:val="Textoindependiente3"/>
              <w:numPr>
                <w:ilvl w:val="0"/>
                <w:numId w:val="5"/>
              </w:numPr>
              <w:spacing w:after="0"/>
              <w:ind w:left="167" w:hanging="218"/>
              <w:jc w:val="both"/>
              <w:rPr>
                <w:rFonts w:ascii="Arial" w:hAnsi="Arial" w:cs="Arial"/>
                <w:b/>
                <w:bCs/>
                <w:sz w:val="13"/>
                <w:szCs w:val="13"/>
                <w:lang w:val="x-none"/>
              </w:rPr>
            </w:pPr>
            <w:r w:rsidRPr="004A6084">
              <w:rPr>
                <w:rFonts w:ascii="Arial" w:hAnsi="Arial" w:cs="Arial"/>
                <w:b/>
                <w:bCs/>
                <w:sz w:val="13"/>
                <w:szCs w:val="13"/>
                <w:lang w:val="x-none"/>
              </w:rPr>
              <w:t xml:space="preserve">En caso de presentación de la </w:t>
            </w:r>
            <w:r w:rsidRPr="004A6084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x-none"/>
              </w:rPr>
              <w:t>Garantía de Seriedad de Propuesta en forma física</w:t>
            </w:r>
            <w:r w:rsidRPr="004A6084">
              <w:rPr>
                <w:rFonts w:ascii="Arial" w:hAnsi="Arial" w:cs="Arial"/>
                <w:b/>
                <w:bCs/>
                <w:sz w:val="13"/>
                <w:szCs w:val="13"/>
                <w:lang w:val="x-none"/>
              </w:rPr>
              <w:t>:</w:t>
            </w:r>
          </w:p>
          <w:p w:rsidR="00CD23D4" w:rsidRPr="004A6084" w:rsidRDefault="00CD23D4" w:rsidP="001449C6">
            <w:pPr>
              <w:ind w:left="167"/>
              <w:rPr>
                <w:rFonts w:ascii="Calibri" w:hAnsi="Calibri" w:cs="Calibri"/>
                <w:sz w:val="13"/>
                <w:szCs w:val="13"/>
              </w:rPr>
            </w:pPr>
            <w:r w:rsidRPr="004A6084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considerar lo señalado en numeral 13.1.5 Parte I del DBC.</w:t>
            </w:r>
          </w:p>
          <w:p w:rsidR="00CD23D4" w:rsidRPr="00967E53" w:rsidRDefault="00CD23D4" w:rsidP="001449C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87393" w:rsidRDefault="00CD23D4" w:rsidP="001449C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1128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67E53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9E2A9B" w:rsidRDefault="00CD23D4" w:rsidP="001449C6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</w:t>
            </w:r>
            <w:r w:rsidRPr="004609B5">
              <w:rPr>
                <w:rFonts w:ascii="Arial" w:hAnsi="Arial" w:cs="Arial"/>
                <w:sz w:val="13"/>
                <w:szCs w:val="13"/>
              </w:rPr>
              <w:t>enlace a través de ZOOM:</w:t>
            </w:r>
            <w:hyperlink r:id="rId7" w:history="1"/>
            <w:r w:rsidRPr="004609B5">
              <w:rPr>
                <w:sz w:val="12"/>
              </w:rPr>
              <w:t xml:space="preserve"> </w:t>
            </w:r>
          </w:p>
          <w:p w:rsidR="00CD23D4" w:rsidRDefault="00CD23D4" w:rsidP="001449C6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CD23D4" w:rsidRDefault="00CD23D4" w:rsidP="001449C6">
            <w:pPr>
              <w:widowControl w:val="0"/>
              <w:jc w:val="both"/>
              <w:rPr>
                <w:rStyle w:val="Hipervnculo"/>
                <w:sz w:val="14"/>
                <w:highlight w:val="yellow"/>
              </w:rPr>
            </w:pPr>
            <w:r w:rsidRPr="004609B5">
              <w:rPr>
                <w:rStyle w:val="Hipervnculo"/>
                <w:sz w:val="14"/>
              </w:rPr>
              <w:t>https://bcb-gob-bo.zoom.us/j/89170450791?pwd=sBmkH8eQa2IWkh8ZA5CfDzb0SmTQav.1</w:t>
            </w:r>
            <w:r w:rsidRPr="004609B5">
              <w:rPr>
                <w:rStyle w:val="Hipervnculo"/>
                <w:sz w:val="14"/>
                <w:highlight w:val="yellow"/>
              </w:rPr>
              <w:t xml:space="preserve"> </w:t>
            </w:r>
          </w:p>
          <w:p w:rsidR="00CD23D4" w:rsidRPr="004609B5" w:rsidRDefault="00CD23D4" w:rsidP="001449C6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CD23D4" w:rsidRPr="004609B5" w:rsidRDefault="00CD23D4" w:rsidP="001449C6">
            <w:pPr>
              <w:widowControl w:val="0"/>
              <w:jc w:val="both"/>
              <w:rPr>
                <w:rStyle w:val="Hipervnculo"/>
                <w:sz w:val="14"/>
              </w:rPr>
            </w:pPr>
            <w:r w:rsidRPr="004609B5">
              <w:rPr>
                <w:rStyle w:val="Hipervnculo"/>
                <w:sz w:val="14"/>
              </w:rPr>
              <w:t>ID de reunión: 891 7045 0791</w:t>
            </w:r>
          </w:p>
          <w:p w:rsidR="00CD23D4" w:rsidRPr="000C6821" w:rsidRDefault="00CD23D4" w:rsidP="001449C6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4609B5">
              <w:rPr>
                <w:rStyle w:val="Hipervnculo"/>
                <w:sz w:val="14"/>
              </w:rPr>
              <w:t>Código de acceso: 064603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53"/>
        </w:trPr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74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23D4" w:rsidRPr="000C6821" w:rsidTr="00CD23D4">
        <w:trPr>
          <w:trHeight w:val="319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291"/>
        </w:trPr>
        <w:tc>
          <w:tcPr>
            <w:tcW w:w="1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53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c>
          <w:tcPr>
            <w:tcW w:w="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3D4" w:rsidRPr="000C6821" w:rsidTr="00CD23D4">
        <w:trPr>
          <w:trHeight w:val="190"/>
        </w:trPr>
        <w:tc>
          <w:tcPr>
            <w:tcW w:w="16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0C6821" w:rsidTr="00CD23D4">
        <w:trPr>
          <w:trHeight w:val="304"/>
        </w:trPr>
        <w:tc>
          <w:tcPr>
            <w:tcW w:w="1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3D4" w:rsidRPr="000C6821" w:rsidRDefault="00CD23D4" w:rsidP="001449C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23D4" w:rsidRPr="000C6821" w:rsidRDefault="00CD23D4" w:rsidP="001449C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D23D4" w:rsidRPr="00492D3E" w:rsidTr="00CD23D4">
        <w:tc>
          <w:tcPr>
            <w:tcW w:w="16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23D4" w:rsidRPr="00492D3E" w:rsidRDefault="00CD23D4" w:rsidP="001449C6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08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D23D4" w:rsidRPr="00492D3E" w:rsidRDefault="00CD23D4" w:rsidP="001449C6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23D4" w:rsidRPr="00492D3E" w:rsidRDefault="00CD23D4" w:rsidP="001449C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6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D4" w:rsidRPr="00492D3E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3D4" w:rsidRPr="00492D3E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3D4" w:rsidRPr="00492D3E" w:rsidRDefault="00CD23D4" w:rsidP="001449C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23D4" w:rsidRPr="00492D3E" w:rsidRDefault="00CD23D4" w:rsidP="001449C6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CD23D4" w:rsidRDefault="00CD23D4" w:rsidP="00CD23D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D23D4" w:rsidRPr="0060646D" w:rsidRDefault="00CD23D4" w:rsidP="00CD23D4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CD23D4" w:rsidRDefault="00CD23D4" w:rsidP="00CD23D4">
      <w:pPr>
        <w:rPr>
          <w:lang w:val="es-BO"/>
        </w:rPr>
      </w:pPr>
    </w:p>
    <w:p w:rsidR="00396E9E" w:rsidRDefault="00396E9E"/>
    <w:sectPr w:rsidR="00396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D4"/>
    <w:rsid w:val="00396E9E"/>
    <w:rsid w:val="00C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FAB2-8259-4471-B769-22E82B53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3D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23D4"/>
    <w:rPr>
      <w:color w:val="0000FF"/>
      <w:u w:val="single"/>
    </w:rPr>
  </w:style>
  <w:style w:type="paragraph" w:styleId="Textoindependiente">
    <w:name w:val="Body Text"/>
    <w:aliases w:val=" Car"/>
    <w:basedOn w:val="Normal"/>
    <w:link w:val="TextoindependienteCar"/>
    <w:rsid w:val="00CD23D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D23D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"/>
    <w:basedOn w:val="Normal"/>
    <w:link w:val="PrrafodelistaCar"/>
    <w:qFormat/>
    <w:rsid w:val="00CD23D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C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D23D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D23D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"/>
    <w:link w:val="Prrafodelista"/>
    <w:qFormat/>
    <w:locked/>
    <w:rsid w:val="00CD23D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D23D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D23D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D2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quisbert@bcb.gob.bo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2025-04-19T18:07:00Z</dcterms:created>
  <dcterms:modified xsi:type="dcterms:W3CDTF">2025-04-19T18:08:00Z</dcterms:modified>
</cp:coreProperties>
</file>