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33" w:rsidRPr="009B35EF" w:rsidRDefault="00D62833" w:rsidP="00D62833">
      <w:pPr>
        <w:jc w:val="center"/>
        <w:rPr>
          <w:rFonts w:cs="Arial"/>
          <w:b/>
          <w:sz w:val="2"/>
          <w:szCs w:val="18"/>
          <w:lang w:val="es-BO"/>
        </w:rPr>
      </w:pPr>
    </w:p>
    <w:p w:rsidR="00D62833" w:rsidRPr="009956C4" w:rsidRDefault="00D62833" w:rsidP="00D62833">
      <w:pPr>
        <w:jc w:val="both"/>
        <w:rPr>
          <w:rFonts w:cs="Arial"/>
          <w:sz w:val="2"/>
          <w:szCs w:val="18"/>
          <w:lang w:val="es-BO"/>
        </w:rPr>
      </w:pPr>
    </w:p>
    <w:p w:rsidR="00D62833" w:rsidRPr="009956C4" w:rsidRDefault="00D62833" w:rsidP="00D62833">
      <w:pPr>
        <w:jc w:val="both"/>
        <w:rPr>
          <w:rFonts w:cs="Arial"/>
          <w:sz w:val="2"/>
          <w:szCs w:val="18"/>
          <w:lang w:val="es-BO"/>
        </w:rPr>
      </w:pPr>
    </w:p>
    <w:p w:rsidR="00D62833" w:rsidRDefault="00D62833" w:rsidP="00D62833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bookmarkStart w:id="1" w:name="_GoBack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bookmarkEnd w:id="1"/>
    <w:p w:rsidR="00D62833" w:rsidRPr="009B35EF" w:rsidRDefault="00D62833" w:rsidP="00D62833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62833" w:rsidRPr="009956C4" w:rsidTr="004B54B5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62833" w:rsidRPr="009956C4" w:rsidRDefault="00D62833" w:rsidP="00D6283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62833" w:rsidRPr="0054356D" w:rsidTr="004B54B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62833" w:rsidRPr="0054356D" w:rsidRDefault="00D62833" w:rsidP="004B54B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62833" w:rsidRPr="009956C4" w:rsidTr="004B54B5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A93AB0" w:rsidRDefault="00D62833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D14236" w:rsidRDefault="00D62833" w:rsidP="004B54B5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D14236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62833" w:rsidRPr="0054356D" w:rsidTr="004B54B5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A93AB0" w:rsidRDefault="00D62833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D62833" w:rsidRPr="009956C4" w:rsidTr="004B54B5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A93AB0" w:rsidRDefault="00D62833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039/2025 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62833" w:rsidRPr="009956C4" w:rsidTr="004B54B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62833" w:rsidRPr="00A93AB0" w:rsidTr="004B54B5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A93AB0" w:rsidRDefault="00D62833" w:rsidP="004B54B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62833" w:rsidRPr="00A93AB0" w:rsidRDefault="00D62833" w:rsidP="004B54B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62833" w:rsidRPr="00A93AB0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D62833" w:rsidRPr="00A93AB0" w:rsidTr="004B54B5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A93AB0" w:rsidRDefault="00D62833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62833" w:rsidRPr="00A93AB0" w:rsidRDefault="00D62833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A93AB0" w:rsidRDefault="00D62833" w:rsidP="004B54B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312"/>
        <w:gridCol w:w="281"/>
        <w:gridCol w:w="282"/>
        <w:gridCol w:w="271"/>
        <w:gridCol w:w="276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D62833" w:rsidRPr="002662F5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2662F5" w:rsidRDefault="00D62833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62833" w:rsidRPr="00A93AB0" w:rsidTr="004B54B5">
        <w:trPr>
          <w:trHeight w:val="227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A93AB0" w:rsidRDefault="00D62833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3AB0" w:rsidRDefault="00D62833" w:rsidP="004B54B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ADQUISICIÓN EQUIPOS DE COMUNICACIÓN PARA RED PERIMETRAL DE DATA CENTER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A93AB0" w:rsidRDefault="00D62833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D62833" w:rsidRPr="0054356D" w:rsidTr="004B54B5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54356D" w:rsidRDefault="00D62833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D62833" w:rsidRPr="0054356D" w:rsidRDefault="00D62833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D62833" w:rsidRPr="009956C4" w:rsidTr="004B54B5">
        <w:trPr>
          <w:trHeight w:val="246"/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507C36" w:rsidRDefault="00D62833" w:rsidP="004B54B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D62833" w:rsidRPr="00507C36" w:rsidRDefault="00D62833" w:rsidP="004B54B5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62833" w:rsidRPr="009956C4" w:rsidTr="004B54B5">
        <w:trPr>
          <w:trHeight w:val="20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62833" w:rsidRPr="009956C4" w:rsidTr="004B54B5">
        <w:trPr>
          <w:trHeight w:val="212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62833" w:rsidRPr="002662F5" w:rsidTr="004B54B5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2662F5" w:rsidRDefault="00D62833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62833" w:rsidRPr="002662F5" w:rsidRDefault="00D62833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62833" w:rsidRPr="009956C4" w:rsidTr="004B54B5">
        <w:trPr>
          <w:trHeight w:val="211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507C36" w:rsidRDefault="00D62833" w:rsidP="004B54B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33" w:rsidRPr="00507C36" w:rsidRDefault="00D62833" w:rsidP="004B54B5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54356D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54356D" w:rsidRDefault="00D62833" w:rsidP="004B54B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D62833" w:rsidRPr="0054356D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D62833" w:rsidRPr="009956C4" w:rsidTr="004B54B5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Bs1.000.000,00 (Un Millón 00/100/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trHeight w:val="143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2662F5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2662F5" w:rsidRDefault="00D62833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62833" w:rsidRPr="009956C4" w:rsidTr="004B54B5">
        <w:trPr>
          <w:trHeight w:val="24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507C36" w:rsidRDefault="00D62833" w:rsidP="004B54B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D62833" w:rsidRPr="00507C36" w:rsidRDefault="00D62833" w:rsidP="004B54B5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BB622A" w:rsidRDefault="00D62833" w:rsidP="004B54B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62833" w:rsidRPr="002662F5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2662F5" w:rsidRDefault="00D62833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62833" w:rsidRPr="009956C4" w:rsidTr="004B54B5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375E4D" w:rsidRDefault="00D62833" w:rsidP="004B54B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375E4D">
              <w:rPr>
                <w:rFonts w:ascii="Arial" w:hAnsi="Arial" w:cs="Arial"/>
                <w:lang w:eastAsia="zh-CN"/>
              </w:rPr>
              <w:t>El proponente debe entregar los bienes en un plazo no mayor a noventa (90) días calendario, a partir del siguiente día hábil a la firma del contrato.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trHeight w:val="256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2662F5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2662F5" w:rsidRDefault="00D62833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62833" w:rsidRPr="002662F5" w:rsidTr="004B54B5">
        <w:trPr>
          <w:trHeight w:val="1281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:rsidR="00D62833" w:rsidRPr="002662F5" w:rsidRDefault="00D62833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formalizar con Orden de Compra)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1437B6" w:rsidRDefault="00D62833" w:rsidP="004B54B5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Para garantizar el cumplimiento del contrato el BCB requiere una garantía del siete por ciento (7%) del valor total del contrato, para lo cual el proveedor podrá presentar uno de los siguientes tipos de garantía:</w:t>
            </w:r>
          </w:p>
          <w:p w:rsidR="00D62833" w:rsidRPr="001437B6" w:rsidRDefault="00D62833" w:rsidP="00D6283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Boleta de garantía.</w:t>
            </w:r>
          </w:p>
          <w:p w:rsidR="00D62833" w:rsidRPr="001437B6" w:rsidRDefault="00D62833" w:rsidP="00D6283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Garantía a primer requerimiento.</w:t>
            </w:r>
          </w:p>
          <w:p w:rsidR="00D62833" w:rsidRPr="001437B6" w:rsidRDefault="00D62833" w:rsidP="00D6283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Póliza de seguro de Caución a primer requerimiento.</w:t>
            </w:r>
          </w:p>
          <w:p w:rsidR="00D62833" w:rsidRPr="001437B6" w:rsidRDefault="00D62833" w:rsidP="004B54B5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El importe de dicha garantía, en caso de cualquier incumplimiento contractual incurrido por el proponente, será consolidado a favor del BCB sin necesidad de ningún trámite o acción judicial.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62833" w:rsidRPr="002662F5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833" w:rsidRPr="004F005E" w:rsidRDefault="00D62833" w:rsidP="004B54B5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62833" w:rsidRPr="002662F5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   </w:t>
            </w: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que no se requiera)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1437B6" w:rsidRDefault="00D62833" w:rsidP="004B54B5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 xml:space="preserve">El proveedor debe presentar una Garantía de Funcionamiento de Maquinaria y/o Equipo vigente por un periodo de tres (3) años y treinta (30) días calendario, que serán computables a partir de la fecha de emisión del acta de recepción, por el importe del 1.5% del monto total del contrato, el proveedor decidirá el tipo de garantía a presentar entre: </w:t>
            </w:r>
          </w:p>
          <w:p w:rsidR="00D62833" w:rsidRPr="001437B6" w:rsidRDefault="00D62833" w:rsidP="00D6283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 xml:space="preserve">Boleta de Garantía, </w:t>
            </w:r>
          </w:p>
          <w:p w:rsidR="00D62833" w:rsidRPr="001437B6" w:rsidRDefault="00D62833" w:rsidP="00D6283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Garantía a Primer Requerimiento</w:t>
            </w:r>
          </w:p>
          <w:p w:rsidR="00D62833" w:rsidRPr="001437B6" w:rsidRDefault="00D62833" w:rsidP="00D6283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 xml:space="preserve">Póliza de Seguro de Caución a Primer Requerimiento.  </w:t>
            </w:r>
          </w:p>
          <w:p w:rsidR="00D62833" w:rsidRPr="001437B6" w:rsidRDefault="00D62833" w:rsidP="004B54B5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 xml:space="preserve">A solicitud del proveedor, en sustitución de esta garantía, el BCB podrá efectuar una retención del 1.5% del monto total del contrato. </w:t>
            </w:r>
          </w:p>
          <w:p w:rsidR="00D62833" w:rsidRPr="001437B6" w:rsidRDefault="00D62833" w:rsidP="004B54B5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El personal designado por la Gerencia de Sistemas será el encargado de hacer seguimiento a los servicios cubiertos por esta garantía y emitirá el informe de conformidad a la conclusión.</w:t>
            </w:r>
          </w:p>
          <w:p w:rsidR="00D62833" w:rsidRPr="001437B6" w:rsidRDefault="00D62833" w:rsidP="004B54B5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1437B6"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  <w:t>La garantía será devuelta una vez concluido su periodo, siempre y cuando el proveedor hubiese cumplido con todas las obligaciones contractuales, el documento de garantía deberá ser entregada antes de la emisión del Acta de Recepción.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62833" w:rsidRPr="002662F5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62833" w:rsidRPr="002662F5" w:rsidRDefault="00D62833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62833" w:rsidRPr="009956C4" w:rsidTr="004B54B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507C36" w:rsidRDefault="00D62833" w:rsidP="004B54B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62833" w:rsidRPr="00507C36" w:rsidRDefault="00D62833" w:rsidP="004B54B5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62833" w:rsidRPr="009956C4" w:rsidTr="004B54B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D62833" w:rsidRPr="009956C4" w:rsidTr="004B54B5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D62833" w:rsidRPr="009956C4" w:rsidRDefault="00D62833" w:rsidP="004B54B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62833" w:rsidRPr="009956C4" w:rsidTr="004B54B5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62833" w:rsidRPr="009956C4" w:rsidRDefault="00D62833" w:rsidP="00D6283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62833" w:rsidRPr="009956C4" w:rsidTr="004B54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62833" w:rsidRPr="009956C4" w:rsidTr="004B54B5">
        <w:trPr>
          <w:trHeight w:val="39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D62833" w:rsidRPr="009956C4" w:rsidTr="004B54B5">
        <w:trPr>
          <w:trHeight w:val="66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62833" w:rsidRPr="009956C4" w:rsidTr="004B54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62833" w:rsidRPr="009956C4" w:rsidTr="004B54B5">
        <w:trPr>
          <w:trHeight w:val="451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Alba Escobar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E463DC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D62833" w:rsidRPr="009956C4" w:rsidTr="004B54B5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2B98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Fernando Weimar Rodriguez Flores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2833" w:rsidRPr="00A92B98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92B98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Administrador de Redes Senior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D62833" w:rsidRPr="00A92B98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375E4D" w:rsidRDefault="00D62833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051737">
              <w:rPr>
                <w:rFonts w:ascii="Arial" w:hAnsi="Arial" w:cs="Arial"/>
              </w:rPr>
              <w:t>Departamento de Base de Datos y Comunicaciones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D62833" w:rsidRPr="002662F5" w:rsidTr="004B54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62833" w:rsidRPr="002662F5" w:rsidRDefault="00D62833" w:rsidP="004B54B5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62833" w:rsidRPr="002662F5" w:rsidRDefault="00D62833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D62833" w:rsidRPr="009956C4" w:rsidTr="004B54B5">
        <w:trPr>
          <w:trHeight w:val="735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Default="00D62833" w:rsidP="004B54B5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D62833" w:rsidRPr="00A92B98" w:rsidRDefault="00D62833" w:rsidP="004B54B5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D62833" w:rsidRPr="00A92B98" w:rsidRDefault="00D62833" w:rsidP="004B54B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1134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62833" w:rsidRPr="00A92B98" w:rsidRDefault="00D62833" w:rsidP="004B54B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E231F9">
                <w:rPr>
                  <w:rStyle w:val="Hipervnculo"/>
                  <w:rFonts w:ascii="Arial" w:hAnsi="Arial" w:cs="Arial"/>
                  <w:szCs w:val="14"/>
                </w:rPr>
                <w:t>calba</w:t>
              </w:r>
              <w:r w:rsidRPr="00E231F9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D62833" w:rsidRPr="00A92B98" w:rsidRDefault="00D62833" w:rsidP="004B54B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D62833" w:rsidRPr="009956C4" w:rsidRDefault="00D62833" w:rsidP="004B54B5">
            <w:pPr>
              <w:rPr>
                <w:rFonts w:ascii="Arial" w:hAnsi="Arial" w:cs="Arial"/>
                <w:lang w:val="es-BO"/>
              </w:rPr>
            </w:pPr>
            <w:r w:rsidRPr="001437B6">
              <w:rPr>
                <w:rStyle w:val="Hipervnculo"/>
              </w:rPr>
              <w:t xml:space="preserve">wrodriguez@bcb.gob.bo </w:t>
            </w: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62833" w:rsidRPr="009956C4" w:rsidRDefault="00D62833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D62833" w:rsidRPr="009956C4" w:rsidTr="004B54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62833" w:rsidRPr="009956C4" w:rsidTr="004B54B5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33" w:rsidRPr="00402294" w:rsidRDefault="00D62833" w:rsidP="004B54B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E463DC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E463DC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219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D62833" w:rsidRDefault="00D62833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D62833" w:rsidRDefault="00D62833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D62833" w:rsidRDefault="00D62833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4F005E">
              <w:rPr>
                <w:rFonts w:ascii="Arial" w:hAnsi="Arial" w:cs="Arial"/>
                <w:b/>
                <w:highlight w:val="yellow"/>
                <w:lang w:val="es-BO"/>
              </w:rPr>
              <w:t>(NO APLICA)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62833" w:rsidRPr="009956C4" w:rsidTr="004B54B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62833" w:rsidRPr="009956C4" w:rsidTr="004B54B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62833" w:rsidRPr="009956C4" w:rsidRDefault="00D62833" w:rsidP="004B54B5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62833" w:rsidRPr="009956C4" w:rsidTr="004B54B5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62833" w:rsidRPr="009956C4" w:rsidRDefault="00D62833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D62833" w:rsidRDefault="00D62833" w:rsidP="00D62833">
      <w:pPr>
        <w:rPr>
          <w:lang w:val="es-BO"/>
        </w:rPr>
      </w:pPr>
    </w:p>
    <w:p w:rsidR="00D62833" w:rsidRDefault="00D62833" w:rsidP="00D62833">
      <w:pPr>
        <w:rPr>
          <w:lang w:val="es-BO"/>
        </w:rPr>
      </w:pPr>
    </w:p>
    <w:p w:rsidR="00D62833" w:rsidRPr="009956C4" w:rsidRDefault="00D62833" w:rsidP="00D62833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D62833" w:rsidRPr="00DF1D1E" w:rsidRDefault="00D62833" w:rsidP="00D62833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62833" w:rsidRPr="009956C4" w:rsidTr="004B54B5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833" w:rsidRDefault="00D62833" w:rsidP="004B54B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62833" w:rsidRPr="00DF1D1E" w:rsidRDefault="00D62833" w:rsidP="004B54B5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D62833" w:rsidRDefault="00D62833" w:rsidP="00D62833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62833" w:rsidRPr="00DF1D1E" w:rsidRDefault="00D62833" w:rsidP="004B54B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D62833" w:rsidRPr="009956C4" w:rsidRDefault="00D62833" w:rsidP="00D62833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62833" w:rsidRPr="009956C4" w:rsidRDefault="00D62833" w:rsidP="00D62833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D62833" w:rsidRPr="009956C4" w:rsidRDefault="00D62833" w:rsidP="004B54B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62833" w:rsidRPr="00DF1D1E" w:rsidRDefault="00D62833" w:rsidP="004B54B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D62833" w:rsidRPr="009956C4" w:rsidRDefault="00D62833" w:rsidP="00D62833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62833" w:rsidRPr="00DF1D1E" w:rsidRDefault="00D62833" w:rsidP="004B54B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D62833" w:rsidRPr="009956C4" w:rsidRDefault="00D62833" w:rsidP="00D62833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62833" w:rsidRPr="00DF1D1E" w:rsidRDefault="00D62833" w:rsidP="004B54B5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D62833" w:rsidRPr="009956C4" w:rsidRDefault="00D62833" w:rsidP="004B54B5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D62833" w:rsidRPr="00DF1D1E" w:rsidRDefault="00D62833" w:rsidP="00D62833">
      <w:pPr>
        <w:jc w:val="right"/>
        <w:rPr>
          <w:rFonts w:ascii="Arial" w:hAnsi="Arial" w:cs="Arial"/>
          <w:sz w:val="12"/>
          <w:lang w:val="es-BO"/>
        </w:rPr>
      </w:pPr>
    </w:p>
    <w:p w:rsidR="00D62833" w:rsidRDefault="00D62833" w:rsidP="00D62833">
      <w:pPr>
        <w:ind w:firstLine="709"/>
        <w:rPr>
          <w:rFonts w:cs="Arial"/>
          <w:sz w:val="18"/>
          <w:szCs w:val="18"/>
          <w:lang w:val="es-BO"/>
        </w:rPr>
      </w:pPr>
    </w:p>
    <w:p w:rsidR="00D62833" w:rsidRPr="009956C4" w:rsidRDefault="00D62833" w:rsidP="00D62833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D62833" w:rsidRPr="00DF1D1E" w:rsidRDefault="00D62833" w:rsidP="00D62833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D62833" w:rsidRPr="009956C4" w:rsidTr="004B54B5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D62833" w:rsidRPr="009956C4" w:rsidTr="004B54B5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62833" w:rsidRPr="009956C4" w:rsidTr="004B54B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62833" w:rsidRPr="009956C4" w:rsidTr="004B54B5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B22D02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B22D02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B22D02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B22D02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B22D02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B22D02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2833" w:rsidRPr="00B22D02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B22D02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B22D02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B22D02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AA247B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33" w:rsidRPr="00AA247B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A247B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62833" w:rsidRPr="009956C4" w:rsidTr="004B54B5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B50D91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62833" w:rsidRPr="009956C4" w:rsidTr="004B54B5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D5229F" w:rsidRDefault="00D62833" w:rsidP="004B54B5">
            <w:pPr>
              <w:jc w:val="center"/>
              <w:rPr>
                <w:rFonts w:ascii="Helvetica" w:hAnsi="Helvetica" w:cs="Helvetica"/>
                <w:color w:val="0000FF"/>
                <w:sz w:val="8"/>
                <w:szCs w:val="14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62833" w:rsidRPr="009956C4" w:rsidTr="004B54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E7F5A" w:rsidRDefault="00D62833" w:rsidP="004B54B5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D62833" w:rsidRPr="009E7F5A" w:rsidRDefault="00D62833" w:rsidP="00D62833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D62833" w:rsidRPr="00584336" w:rsidRDefault="00D62833" w:rsidP="004B54B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62833" w:rsidRPr="009956C4" w:rsidTr="004B54B5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2662F5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62833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2662F5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FD7E8D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FD7E8D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62833" w:rsidRPr="009956C4" w:rsidTr="004B54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2662F5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FD7E8D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FD7E8D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FD7E8D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FD7E8D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62833" w:rsidRPr="009956C4" w:rsidTr="004B54B5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7807DF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D5229F" w:rsidRDefault="00D62833" w:rsidP="004B54B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6F7EE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33" w:rsidRPr="00FD7E8D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FD7E8D" w:rsidRDefault="00D62833" w:rsidP="004B54B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D62833" w:rsidRDefault="00D62833" w:rsidP="004B54B5">
            <w:pPr>
              <w:rPr>
                <w:rStyle w:val="Hipervnculo"/>
                <w:rFonts w:ascii="Arial" w:hAnsi="Arial" w:cs="Arial"/>
                <w:sz w:val="14"/>
                <w:szCs w:val="14"/>
                <w:highlight w:val="yellow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6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7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EF2C6B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https://bcb-gob-bo.zoom.us/j/82210075876?pwd=9dRufxuSfv1O7u4XDEHNMTBUfhCoGa.1</w:t>
            </w:r>
            <w:r w:rsidRPr="00EF2C6B">
              <w:rPr>
                <w:rStyle w:val="Hipervnculo"/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  <w:p w:rsidR="00D62833" w:rsidRPr="001437B6" w:rsidRDefault="00D62833" w:rsidP="004B54B5">
            <w:pPr>
              <w:rPr>
                <w:rStyle w:val="Hipervnculo"/>
                <w:rFonts w:ascii="Arial" w:hAnsi="Arial" w:cs="Arial"/>
                <w:sz w:val="14"/>
                <w:szCs w:val="14"/>
                <w:highlight w:val="yellow"/>
              </w:rPr>
            </w:pPr>
          </w:p>
          <w:p w:rsidR="00D62833" w:rsidRPr="00EF2C6B" w:rsidRDefault="00D62833" w:rsidP="004B54B5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EF2C6B">
              <w:rPr>
                <w:rStyle w:val="Hipervnculo"/>
                <w:rFonts w:ascii="Arial" w:hAnsi="Arial" w:cs="Arial"/>
                <w:sz w:val="14"/>
                <w:szCs w:val="14"/>
              </w:rPr>
              <w:t>ID de reunión: 822 1007 5876</w:t>
            </w:r>
          </w:p>
          <w:p w:rsidR="00D62833" w:rsidRPr="00543012" w:rsidRDefault="00D62833" w:rsidP="004B54B5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EF2C6B">
              <w:rPr>
                <w:rStyle w:val="Hipervnculo"/>
                <w:rFonts w:ascii="Arial" w:hAnsi="Arial" w:cs="Arial"/>
                <w:sz w:val="14"/>
                <w:szCs w:val="14"/>
              </w:rPr>
              <w:t>Código de acceso: 462844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62833" w:rsidRPr="009956C4" w:rsidTr="004B54B5">
        <w:trPr>
          <w:trHeight w:val="170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62833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62833" w:rsidRPr="009956C4" w:rsidTr="004B54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62833" w:rsidRPr="009956C4" w:rsidTr="004B54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62833" w:rsidRPr="009956C4" w:rsidTr="004B54B5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62833" w:rsidRPr="009956C4" w:rsidTr="004B54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2833" w:rsidRPr="009956C4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9956C4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A244D6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833" w:rsidRDefault="00D62833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D62833" w:rsidRPr="00A244D6" w:rsidRDefault="00D62833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62833" w:rsidRPr="00A244D6" w:rsidTr="004B54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62833" w:rsidRPr="00A244D6" w:rsidRDefault="00D62833" w:rsidP="004B54B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62833" w:rsidRPr="00A244D6" w:rsidRDefault="00D62833" w:rsidP="004B54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A244D6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62833" w:rsidRPr="00DF1D1E" w:rsidTr="004B54B5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62833" w:rsidRPr="00DF1D1E" w:rsidRDefault="00D62833" w:rsidP="004B54B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62833" w:rsidRPr="00DF1D1E" w:rsidRDefault="00D62833" w:rsidP="004B54B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62833" w:rsidRPr="00DF1D1E" w:rsidRDefault="00D62833" w:rsidP="004B54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62833" w:rsidRPr="00DF1D1E" w:rsidRDefault="00D62833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D62833" w:rsidRPr="00A244D6" w:rsidRDefault="00D62833" w:rsidP="00D62833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BC332E" w:rsidRDefault="00D62833" w:rsidP="00D62833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BC3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E29156C"/>
    <w:multiLevelType w:val="hybridMultilevel"/>
    <w:tmpl w:val="0A4AF4E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1" w15:restartNumberingAfterBreak="0">
    <w:nsid w:val="7F5A00D7"/>
    <w:multiLevelType w:val="hybridMultilevel"/>
    <w:tmpl w:val="F26E19F0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33"/>
    <w:rsid w:val="00BC332E"/>
    <w:rsid w:val="00D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C6BBD-E7F1-45EA-8D91-FA13B8C7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83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62833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62833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62833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62833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D62833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62833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6283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6283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62833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283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6283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6283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62833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D6283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6283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6283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6283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6283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6283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6283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6283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6283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628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8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628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83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6283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6283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62833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6283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6283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6283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6283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283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283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6283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6283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D6283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62833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D62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D62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D6283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6283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6283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6283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6283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6283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6283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6283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D6283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D6283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D6283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6283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6283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6283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6283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62833"/>
    <w:rPr>
      <w:vertAlign w:val="superscript"/>
    </w:rPr>
  </w:style>
  <w:style w:type="paragraph" w:customStyle="1" w:styleId="BodyText21">
    <w:name w:val="Body Text 21"/>
    <w:basedOn w:val="Normal"/>
    <w:rsid w:val="00D6283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6283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6283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62833"/>
  </w:style>
  <w:style w:type="paragraph" w:customStyle="1" w:styleId="Document1">
    <w:name w:val="Document 1"/>
    <w:rsid w:val="00D6283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6283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6283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6283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6283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6283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6283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6283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6283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6283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6283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6283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6283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6283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62833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D6283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62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6283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6283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6283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62833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6283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6283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6283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6283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62833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62833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6283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6283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D6283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D62833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62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62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D6283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62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62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628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D62833"/>
  </w:style>
  <w:style w:type="character" w:customStyle="1" w:styleId="markedcontent">
    <w:name w:val="markedcontent"/>
    <w:basedOn w:val="Fuentedeprrafopredeter"/>
    <w:rsid w:val="00D62833"/>
  </w:style>
  <w:style w:type="character" w:styleId="nfasissutil">
    <w:name w:val="Subtle Emphasis"/>
    <w:uiPriority w:val="19"/>
    <w:qFormat/>
    <w:rsid w:val="00D62833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D62833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6869066e7fe52f40e6a714873ba0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calb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1381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2025-03-28T23:11:00Z</dcterms:created>
  <dcterms:modified xsi:type="dcterms:W3CDTF">2025-03-28T23:13:00Z</dcterms:modified>
</cp:coreProperties>
</file>