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pt;height:59.8pt" o:ole="">
                  <v:imagedata r:id="rId5" o:title="" gain="45875f" blacklevel="13107f" grayscale="t"/>
                </v:shape>
                <o:OLEObject Type="Embed" ProgID="MSPhotoEd.3" ShapeID="_x0000_i1025" DrawAspect="Content" ObjectID="_1762274684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1E338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9F0CC8">
              <w:rPr>
                <w:rFonts w:ascii="Arial" w:hAnsi="Arial" w:cs="Arial"/>
                <w:color w:val="FFFFFF"/>
                <w:sz w:val="18"/>
                <w:lang w:val="pt-BR"/>
              </w:rPr>
              <w:t>142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F0CC8" w:rsidRPr="00F75995" w:rsidTr="00A55041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F0CC8" w:rsidRPr="00F75995" w:rsidRDefault="009F0CC8" w:rsidP="009F0CC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F0CC8" w:rsidRPr="00F75995" w:rsidTr="00A55041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142/2023-1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CC8" w:rsidRPr="00F75995" w:rsidRDefault="009F0CC8" w:rsidP="00A5504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CC8" w:rsidRPr="00F75995" w:rsidRDefault="009F0CC8" w:rsidP="00A5504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CC8" w:rsidRPr="00F75995" w:rsidRDefault="009F0CC8" w:rsidP="00A5504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F0CC8" w:rsidRPr="00F75995" w:rsidTr="00A5504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38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760920" w:rsidRDefault="009F0CC8" w:rsidP="00A5504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B07075">
              <w:rPr>
                <w:rFonts w:ascii="Arial" w:hAnsi="Arial" w:cs="Arial"/>
                <w:b/>
                <w:color w:val="000099"/>
              </w:rPr>
              <w:t>SERVICIO ESPECIALIZADO DE MANTENIMIENTO PARA ASCENSORES MARCA FALCONI DEL EDIFICIO PRINCIPAL DEL BCB –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424887" w:rsidRDefault="009F0CC8" w:rsidP="00A550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9F0CC8" w:rsidRPr="00424887" w:rsidRDefault="009F0CC8" w:rsidP="00A55041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F0CC8" w:rsidRPr="00F75995" w:rsidTr="00A55041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F0CC8" w:rsidRPr="00F75995" w:rsidTr="00A55041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F0CC8" w:rsidRPr="00F75995" w:rsidTr="00A55041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F75995" w:rsidRDefault="009F0CC8" w:rsidP="00A55041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F0CC8" w:rsidRPr="00F75995" w:rsidTr="00A55041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CE40E3" w:rsidTr="00A55041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FD338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FD338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74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1134"/>
              <w:gridCol w:w="992"/>
              <w:gridCol w:w="1843"/>
            </w:tblGrid>
            <w:tr w:rsidR="009F0CC8" w:rsidRPr="00FD3385" w:rsidTr="00A55041">
              <w:trPr>
                <w:trHeight w:val="29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ES_tradnl" w:eastAsia="es-BO"/>
                    </w:rPr>
                    <w:t>Ítem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ES_tradnl" w:eastAsia="es-BO"/>
                    </w:rPr>
                    <w:t>Descripción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ES_tradnl" w:eastAsia="es-BO"/>
                    </w:rPr>
                    <w:t>Precio Unitario - Mes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CC8" w:rsidRDefault="009F0CC8" w:rsidP="00A5504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ES_tradnl" w:eastAsia="es-BO"/>
                    </w:rPr>
                  </w:pPr>
                  <w:r w:rsidRPr="00FD338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ES_tradnl" w:eastAsia="es-BO"/>
                    </w:rPr>
                    <w:t>Cantidad</w:t>
                  </w:r>
                </w:p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ES_tradnl"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ES_tradnl" w:eastAsia="es-BO"/>
                    </w:rPr>
                    <w:t>meses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ES_tradnl" w:eastAsia="es-BO"/>
                    </w:rPr>
                    <w:t>(*) Precio Anual Referencial Total</w:t>
                  </w:r>
                </w:p>
              </w:tc>
            </w:tr>
            <w:tr w:rsidR="009F0CC8" w:rsidRPr="00FD3385" w:rsidTr="00A55041">
              <w:trPr>
                <w:trHeight w:val="271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CC8" w:rsidRPr="00FD3385" w:rsidRDefault="009F0CC8" w:rsidP="00A55041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BO" w:eastAsia="es-BO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CC8" w:rsidRPr="00FD3385" w:rsidRDefault="009F0CC8" w:rsidP="00A55041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BO" w:eastAsia="es-BO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CC8" w:rsidRPr="00FD3385" w:rsidRDefault="009F0CC8" w:rsidP="00A55041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BO" w:eastAsia="es-BO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CC8" w:rsidRPr="00FD3385" w:rsidRDefault="009F0CC8" w:rsidP="00A55041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BO" w:eastAsia="es-BO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s-ES_tradnl" w:eastAsia="es-BO"/>
                    </w:rPr>
                    <w:t>En Bolivianos</w:t>
                  </w:r>
                </w:p>
              </w:tc>
            </w:tr>
            <w:tr w:rsidR="009F0CC8" w:rsidRPr="00FD3385" w:rsidTr="00A55041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Mantenimiento Ascensor  </w:t>
                  </w:r>
                  <w:proofErr w:type="spellStart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Falconi</w:t>
                  </w:r>
                  <w:proofErr w:type="spellEnd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 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431,42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2 meses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177,04</w:t>
                  </w:r>
                </w:p>
              </w:tc>
            </w:tr>
            <w:tr w:rsidR="009F0CC8" w:rsidRPr="00FD3385" w:rsidTr="00A55041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Mantenimiento Ascensor </w:t>
                  </w:r>
                  <w:proofErr w:type="spellStart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Falconi</w:t>
                  </w:r>
                  <w:proofErr w:type="spellEnd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431,43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2 meses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177,16</w:t>
                  </w:r>
                </w:p>
              </w:tc>
            </w:tr>
            <w:tr w:rsidR="009F0CC8" w:rsidRPr="00FD3385" w:rsidTr="00A55041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Mantenimiento Ascensor  </w:t>
                  </w:r>
                  <w:proofErr w:type="spellStart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Falconi</w:t>
                  </w:r>
                  <w:proofErr w:type="spellEnd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 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431,43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2 meses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177,16</w:t>
                  </w:r>
                </w:p>
              </w:tc>
            </w:tr>
            <w:tr w:rsidR="009F0CC8" w:rsidRPr="00FD3385" w:rsidTr="00A55041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Mantenimiento  Ascensor  </w:t>
                  </w:r>
                  <w:proofErr w:type="spellStart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Falconi</w:t>
                  </w:r>
                  <w:proofErr w:type="spellEnd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 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431,43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2 meses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177,16</w:t>
                  </w:r>
                </w:p>
              </w:tc>
            </w:tr>
            <w:tr w:rsidR="009F0CC8" w:rsidRPr="00FD3385" w:rsidTr="00A55041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Mantenimiento Ascensor  </w:t>
                  </w:r>
                  <w:proofErr w:type="spellStart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Falconi</w:t>
                  </w:r>
                  <w:proofErr w:type="spellEnd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 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431,43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2 meses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177,16</w:t>
                  </w:r>
                </w:p>
              </w:tc>
            </w:tr>
            <w:tr w:rsidR="009F0CC8" w:rsidRPr="00FD3385" w:rsidTr="00A55041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Mantenimiento Ascensor  </w:t>
                  </w:r>
                  <w:proofErr w:type="spellStart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Falconi</w:t>
                  </w:r>
                  <w:proofErr w:type="spellEnd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 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431,43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2 meses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177,16</w:t>
                  </w:r>
                </w:p>
              </w:tc>
            </w:tr>
            <w:tr w:rsidR="009F0CC8" w:rsidRPr="00FD3385" w:rsidTr="00A55041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2"/>
                      <w:lang w:val="es-BO" w:eastAsia="es-BO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Mantenimiento Ascensor  </w:t>
                  </w:r>
                  <w:proofErr w:type="spellStart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Falconi</w:t>
                  </w:r>
                  <w:proofErr w:type="spellEnd"/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 xml:space="preserve"> 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431,43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2 meses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F0CC8" w:rsidRPr="00FD3385" w:rsidRDefault="009F0CC8" w:rsidP="00A5504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</w:pP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41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.</w:t>
                  </w:r>
                  <w:r w:rsidRPr="00FD3385">
                    <w:rPr>
                      <w:rFonts w:ascii="Arial" w:hAnsi="Arial" w:cs="Arial"/>
                      <w:color w:val="000000"/>
                      <w:szCs w:val="24"/>
                      <w:lang w:val="es-BO" w:eastAsia="es-BO"/>
                    </w:rPr>
                    <w:t>177,16</w:t>
                  </w:r>
                </w:p>
              </w:tc>
            </w:tr>
            <w:tr w:rsidR="009F0CC8" w:rsidRPr="00FD3385" w:rsidTr="00A55041">
              <w:trPr>
                <w:trHeight w:val="315"/>
              </w:trPr>
              <w:tc>
                <w:tcPr>
                  <w:tcW w:w="55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9F0CC8" w:rsidRPr="00181C90" w:rsidRDefault="009F0CC8" w:rsidP="00A5504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  <w:lang w:val="es-BO" w:eastAsia="es-BO"/>
                    </w:rPr>
                  </w:pPr>
                  <w:r w:rsidRPr="00181C90">
                    <w:rPr>
                      <w:rFonts w:ascii="Arial" w:hAnsi="Arial" w:cs="Arial"/>
                      <w:b/>
                      <w:color w:val="000000"/>
                      <w:szCs w:val="24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F0CC8" w:rsidRPr="00181C90" w:rsidRDefault="009F0CC8" w:rsidP="00A5504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  <w:lang w:val="es-BO" w:eastAsia="es-BO"/>
                    </w:rPr>
                  </w:pPr>
                  <w:r w:rsidRPr="00181C90">
                    <w:rPr>
                      <w:rFonts w:ascii="Arial" w:hAnsi="Arial" w:cs="Arial"/>
                      <w:b/>
                      <w:color w:val="000000"/>
                      <w:szCs w:val="24"/>
                      <w:lang w:val="es-BO" w:eastAsia="es-BO"/>
                    </w:rPr>
                    <w:t>288.240,00</w:t>
                  </w:r>
                </w:p>
              </w:tc>
            </w:tr>
          </w:tbl>
          <w:p w:rsidR="009F0CC8" w:rsidRPr="00CE40E3" w:rsidRDefault="009F0CC8" w:rsidP="00A55041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CE40E3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CE40E3" w:rsidTr="00A5504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0CC8" w:rsidRPr="00CE40E3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CE40E3" w:rsidTr="00A5504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CE40E3" w:rsidRDefault="009F0CC8" w:rsidP="00A5504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C8" w:rsidRPr="00CE40E3" w:rsidRDefault="009F0CC8" w:rsidP="00A55041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0CC8" w:rsidRPr="00CE40E3" w:rsidRDefault="009F0CC8" w:rsidP="00A5504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F0CC8" w:rsidRPr="00CE40E3" w:rsidRDefault="009F0CC8" w:rsidP="00A5504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9F0CC8" w:rsidRPr="00CE40E3" w:rsidRDefault="009F0CC8" w:rsidP="00A5504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F0CC8" w:rsidRPr="00CE40E3" w:rsidTr="00A55041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0CC8" w:rsidRPr="00CE40E3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CE40E3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12CE6" w:rsidRDefault="009F0CC8" w:rsidP="00A55041">
            <w:pPr>
              <w:jc w:val="both"/>
              <w:rPr>
                <w:rFonts w:cs="Arial"/>
              </w:rPr>
            </w:pPr>
            <w:r w:rsidRPr="00B65385">
              <w:rPr>
                <w:rFonts w:ascii="Arial" w:hAnsi="Arial" w:cs="Arial"/>
                <w:szCs w:val="18"/>
                <w:lang w:val="es-BO" w:eastAsia="es-BO"/>
              </w:rPr>
              <w:t xml:space="preserve">El Servicio de Operación, Mantenimiento Especializado para Ascensores Marca </w:t>
            </w:r>
            <w:proofErr w:type="spellStart"/>
            <w:r w:rsidRPr="00B65385">
              <w:rPr>
                <w:rFonts w:ascii="Arial" w:hAnsi="Arial" w:cs="Arial"/>
                <w:szCs w:val="18"/>
                <w:lang w:val="es-BO" w:eastAsia="es-BO"/>
              </w:rPr>
              <w:t>Falconi</w:t>
            </w:r>
            <w:proofErr w:type="spellEnd"/>
            <w:r w:rsidRPr="00B65385">
              <w:rPr>
                <w:rFonts w:ascii="Arial" w:hAnsi="Arial" w:cs="Arial"/>
                <w:szCs w:val="18"/>
                <w:lang w:val="es-BO" w:eastAsia="es-BO"/>
              </w:rPr>
              <w:t xml:space="preserve"> del BCB será computable a partir de la fecha establecida en la Orden de Proceder emitida por el Fiscal de Servicio hasta el 31 de diciembre de 2024.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2F238F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0CC8" w:rsidRPr="002F238F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0CC8" w:rsidRPr="002F238F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2F238F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jc w:val="both"/>
              <w:rPr>
                <w:rFonts w:ascii="Arial" w:hAnsi="Arial" w:cs="Arial"/>
                <w:lang w:val="es-BO"/>
              </w:rPr>
            </w:pPr>
            <w:r w:rsidRPr="00B65385">
              <w:rPr>
                <w:rFonts w:ascii="Arial" w:hAnsi="Arial" w:cs="Arial"/>
                <w:szCs w:val="18"/>
                <w:lang w:val="es-BO" w:eastAsia="es-BO"/>
              </w:rPr>
              <w:t>El Servicio será ejecutado en el Edificio Principal del Banco Central de Bolivia, ubicado en la calle Ayacucho esquina Mercado (zona central).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358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2F238F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</w:t>
            </w:r>
            <w:r>
              <w:rPr>
                <w:rFonts w:ascii="Arial" w:hAnsi="Arial" w:cs="Arial"/>
                <w:lang w:val="es-BO"/>
              </w:rPr>
              <w:t>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2F238F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F0CC8" w:rsidRPr="002F238F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o solicitar la retención del </w:t>
            </w: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F75995" w:rsidRDefault="009F0CC8" w:rsidP="00A550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F75995" w:rsidRDefault="009F0CC8" w:rsidP="00A55041">
            <w:pPr>
              <w:rPr>
                <w:rFonts w:ascii="Arial" w:hAnsi="Arial" w:cs="Arial"/>
                <w:lang w:val="es-BO"/>
              </w:rPr>
            </w:pPr>
          </w:p>
        </w:tc>
      </w:tr>
      <w:tr w:rsidR="009F0CC8" w:rsidRPr="00F75995" w:rsidTr="00A5504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0CC8" w:rsidRPr="00F75995" w:rsidTr="00A5504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F75995" w:rsidRDefault="009F0CC8" w:rsidP="00A550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F0CC8" w:rsidRPr="000E268F" w:rsidRDefault="009F0CC8" w:rsidP="009F0CC8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F0CC8" w:rsidRPr="00A40276" w:rsidTr="00A55041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0CC8" w:rsidRPr="00A40276" w:rsidRDefault="009F0CC8" w:rsidP="00A5504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D3A48" w:rsidRDefault="009F0CC8" w:rsidP="00A550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</w:tr>
      <w:tr w:rsidR="009F0CC8" w:rsidRPr="00A40276" w:rsidTr="00A55041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A40276" w:rsidRDefault="009F0CC8" w:rsidP="00A5504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0CC8" w:rsidRPr="00A40276" w:rsidRDefault="009F0CC8" w:rsidP="00A550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F0CC8" w:rsidRPr="00A40276" w:rsidTr="00A55041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0CC8" w:rsidRPr="00A40276" w:rsidRDefault="009F0CC8" w:rsidP="00A5504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F0CC8" w:rsidRPr="00A40276" w:rsidRDefault="009F0CC8" w:rsidP="00A55041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</w:tr>
      <w:tr w:rsidR="009F0CC8" w:rsidRPr="00A40276" w:rsidTr="00A55041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103827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F0CC8" w:rsidRPr="00A40276" w:rsidTr="00A55041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F0CC8" w:rsidRPr="00A40276" w:rsidRDefault="009F0CC8" w:rsidP="00A5504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9F0CC8" w:rsidRPr="00A40276" w:rsidRDefault="009F0CC8" w:rsidP="00A55041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</w:tr>
      <w:tr w:rsidR="009F0CC8" w:rsidRPr="00A40276" w:rsidTr="00A55041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0CC8" w:rsidRPr="00A40276" w:rsidRDefault="009F0CC8" w:rsidP="00A5504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F0CC8" w:rsidRPr="00A40276" w:rsidRDefault="009F0CC8" w:rsidP="00A55041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C8" w:rsidRPr="002F238F" w:rsidRDefault="009F0CC8" w:rsidP="00A550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</w:tr>
      <w:tr w:rsidR="009F0CC8" w:rsidRPr="00A40276" w:rsidTr="00A55041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0CC8" w:rsidRPr="00A40276" w:rsidRDefault="009F0CC8" w:rsidP="00A5504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9F0CC8" w:rsidRPr="00A40276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C8" w:rsidRPr="00A40276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9F0CC8" w:rsidRPr="00A40276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CC8" w:rsidRPr="00545778" w:rsidTr="00A55041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9F0CC8" w:rsidRPr="00545778" w:rsidRDefault="009F0CC8" w:rsidP="009F0CC8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114"/>
        <w:gridCol w:w="150"/>
        <w:gridCol w:w="263"/>
        <w:gridCol w:w="264"/>
        <w:gridCol w:w="269"/>
        <w:gridCol w:w="264"/>
        <w:gridCol w:w="65"/>
        <w:gridCol w:w="199"/>
        <w:gridCol w:w="85"/>
        <w:gridCol w:w="178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F0CC8" w:rsidRPr="00A40276" w:rsidTr="00A55041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9F0CC8" w:rsidRPr="00765F1B" w:rsidRDefault="009F0CC8" w:rsidP="00A55041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F0CC8" w:rsidRPr="00765F1B" w:rsidRDefault="009F0CC8" w:rsidP="009F0CC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9F0CC8" w:rsidRPr="00A40276" w:rsidRDefault="009F0CC8" w:rsidP="00A5504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F0CC8" w:rsidRPr="00545778" w:rsidTr="00A55041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545778" w:rsidRDefault="009F0CC8" w:rsidP="00A5504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CC8" w:rsidRPr="00A40276" w:rsidTr="00A55041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lastRenderedPageBreak/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0CC8" w:rsidRPr="002F238F" w:rsidRDefault="009F0CC8" w:rsidP="00A55041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CC8" w:rsidRPr="002F238F" w:rsidRDefault="009F0CC8" w:rsidP="00A55041">
            <w:pPr>
              <w:jc w:val="right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</w:tr>
      <w:tr w:rsidR="009F0CC8" w:rsidRPr="00545778" w:rsidTr="00A55041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545778" w:rsidRDefault="009F0CC8" w:rsidP="00A5504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CC8" w:rsidRPr="00A40276" w:rsidTr="00A55041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9F0CC8" w:rsidRDefault="009F0CC8" w:rsidP="00A5504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9F0CC8" w:rsidRDefault="009F0CC8" w:rsidP="00A550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9F0CC8" w:rsidRPr="00545778" w:rsidRDefault="009F0CC8" w:rsidP="00A5504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9F0CC8" w:rsidRPr="00A40276" w:rsidRDefault="009F0CC8" w:rsidP="00A55041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4"/>
            <w:tcBorders>
              <w:bottom w:val="single" w:sz="4" w:space="0" w:color="auto"/>
            </w:tcBorders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F0CC8" w:rsidRPr="00A40276" w:rsidTr="00A55041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</w:rPr>
            </w:pPr>
            <w:r w:rsidRPr="00B65385">
              <w:rPr>
                <w:rFonts w:ascii="Arial" w:hAnsi="Arial" w:cs="Arial"/>
                <w:sz w:val="15"/>
                <w:szCs w:val="13"/>
              </w:rPr>
              <w:t>Claudia Chura Cruz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</w:rPr>
            </w:pPr>
            <w:r w:rsidRPr="00B65385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</w:rPr>
            </w:pPr>
            <w:r w:rsidRPr="00B65385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</w:tr>
      <w:tr w:rsidR="009F0CC8" w:rsidRPr="00A40276" w:rsidTr="00A55041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B65385">
              <w:rPr>
                <w:rFonts w:ascii="Arial" w:hAnsi="Arial" w:cs="Arial"/>
                <w:sz w:val="15"/>
                <w:szCs w:val="13"/>
              </w:rPr>
              <w:t>Richard Pari Apaza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B65385">
              <w:rPr>
                <w:rFonts w:ascii="Arial" w:hAnsi="Arial" w:cs="Arial"/>
                <w:sz w:val="15"/>
                <w:szCs w:val="13"/>
              </w:rPr>
              <w:t>Profesional en Mantenimiento de Ascensores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B65385" w:rsidRDefault="009F0CC8" w:rsidP="00A5504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B65385">
              <w:rPr>
                <w:rFonts w:ascii="Arial" w:hAnsi="Arial" w:cs="Arial"/>
                <w:sz w:val="15"/>
                <w:szCs w:val="13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</w:tr>
      <w:tr w:rsidR="009F0CC8" w:rsidRPr="00545778" w:rsidTr="00A55041">
        <w:trPr>
          <w:trHeight w:val="64"/>
        </w:trPr>
        <w:tc>
          <w:tcPr>
            <w:tcW w:w="9729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545778" w:rsidRDefault="009F0CC8" w:rsidP="00A55041">
            <w:pPr>
              <w:rPr>
                <w:rFonts w:ascii="Arial" w:hAnsi="Arial" w:cs="Arial"/>
                <w:sz w:val="6"/>
              </w:rPr>
            </w:pPr>
          </w:p>
        </w:tc>
      </w:tr>
      <w:tr w:rsidR="009F0CC8" w:rsidRPr="00A40276" w:rsidTr="00A55041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0CC8" w:rsidRPr="00A40276" w:rsidRDefault="009F0CC8" w:rsidP="00A5504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FC2F68" w:rsidRDefault="009F0CC8" w:rsidP="00A55041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9F0CC8" w:rsidRPr="0006032F" w:rsidRDefault="009F0CC8" w:rsidP="00A55041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27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9F0CC8" w:rsidRPr="00A40276" w:rsidRDefault="009F0CC8" w:rsidP="00A5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4710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A40276" w:rsidRDefault="009F0CC8" w:rsidP="00A55041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0CC8" w:rsidRPr="00B65385" w:rsidRDefault="009F0CC8" w:rsidP="00A55041">
            <w:pPr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proofErr w:type="gramStart"/>
            <w:r w:rsidRPr="00B65385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>cchura</w:t>
            </w:r>
            <w:proofErr w:type="gramEnd"/>
            <w:hyperlink r:id="rId7" w:history="1">
              <w:r w:rsidRPr="00B65385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@bcb.gob.bo</w:t>
              </w:r>
            </w:hyperlink>
          </w:p>
          <w:p w:rsidR="009F0CC8" w:rsidRPr="00B65385" w:rsidRDefault="009F0CC8" w:rsidP="00A55041">
            <w:pPr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B65385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9F0CC8" w:rsidRPr="00B65385" w:rsidRDefault="009F0CC8" w:rsidP="00A5504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65385">
              <w:rPr>
                <w:rStyle w:val="Hipervnculo"/>
                <w:rFonts w:ascii="Arial" w:hAnsi="Arial" w:cs="Arial"/>
                <w:sz w:val="14"/>
                <w:szCs w:val="14"/>
              </w:rPr>
              <w:t>rpari</w:t>
            </w:r>
            <w:hyperlink r:id="rId8" w:history="1">
              <w:r w:rsidRPr="00B65385">
                <w:rPr>
                  <w:rStyle w:val="Hipervnculo"/>
                  <w:rFonts w:ascii="Arial" w:hAnsi="Arial" w:cs="Arial"/>
                  <w:sz w:val="14"/>
                  <w:szCs w:val="14"/>
                </w:rPr>
                <w:t>@bcb.gob.bo</w:t>
              </w:r>
            </w:hyperlink>
          </w:p>
          <w:p w:rsidR="009F0CC8" w:rsidRPr="00B65385" w:rsidRDefault="009F0CC8" w:rsidP="00A55041">
            <w:pPr>
              <w:rPr>
                <w:rFonts w:ascii="Arial" w:hAnsi="Arial" w:cs="Arial"/>
                <w:sz w:val="14"/>
              </w:rPr>
            </w:pPr>
            <w:r w:rsidRPr="00B65385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0CC8" w:rsidRPr="00A40276" w:rsidRDefault="009F0CC8" w:rsidP="00A55041">
            <w:pPr>
              <w:rPr>
                <w:rFonts w:ascii="Arial" w:hAnsi="Arial" w:cs="Arial"/>
              </w:rPr>
            </w:pPr>
          </w:p>
        </w:tc>
      </w:tr>
      <w:tr w:rsidR="009F0CC8" w:rsidRPr="00545778" w:rsidTr="00A55041">
        <w:trPr>
          <w:trHeight w:val="81"/>
        </w:trPr>
        <w:tc>
          <w:tcPr>
            <w:tcW w:w="9729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0CC8" w:rsidRPr="00A40276" w:rsidTr="00A55041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0CC8" w:rsidRPr="00570491" w:rsidRDefault="009F0CC8" w:rsidP="00A55041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F0CC8" w:rsidRPr="00087393" w:rsidRDefault="009F0CC8" w:rsidP="00A55041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Default="009F0CC8" w:rsidP="00A5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F0CC8" w:rsidRDefault="009F0CC8" w:rsidP="00A5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F0CC8" w:rsidRDefault="009F0CC8" w:rsidP="00A5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F0CC8" w:rsidRPr="00570491" w:rsidRDefault="009F0CC8" w:rsidP="00A55041">
            <w:pPr>
              <w:rPr>
                <w:rFonts w:ascii="Arial" w:hAnsi="Arial" w:cs="Arial"/>
                <w:color w:val="000099"/>
                <w:highlight w:val="yellow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9F0CC8" w:rsidRPr="00A40276" w:rsidRDefault="009F0CC8" w:rsidP="00A5504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F0CC8" w:rsidRPr="00545778" w:rsidTr="00A55041">
        <w:trPr>
          <w:trHeight w:val="74"/>
        </w:trPr>
        <w:tc>
          <w:tcPr>
            <w:tcW w:w="9729" w:type="dxa"/>
            <w:gridSpan w:val="39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0CC8" w:rsidRPr="00545778" w:rsidRDefault="009F0CC8" w:rsidP="00A550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F0CC8" w:rsidRPr="00C735D5" w:rsidRDefault="009F0CC8" w:rsidP="009F0CC8">
      <w:pPr>
        <w:rPr>
          <w:sz w:val="8"/>
          <w:lang w:val="es-BO"/>
        </w:rPr>
      </w:pPr>
    </w:p>
    <w:p w:rsidR="009F0CC8" w:rsidRDefault="009F0CC8" w:rsidP="009F0CC8">
      <w:pPr>
        <w:pStyle w:val="Puesto"/>
        <w:numPr>
          <w:ilvl w:val="0"/>
          <w:numId w:val="12"/>
        </w:numPr>
        <w:spacing w:before="0" w:after="0"/>
        <w:jc w:val="both"/>
      </w:pPr>
      <w:bookmarkStart w:id="0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9F0CC8" w:rsidRPr="000F4811" w:rsidRDefault="009F0CC8" w:rsidP="009F0CC8">
      <w:pPr>
        <w:rPr>
          <w:sz w:val="10"/>
          <w:szCs w:val="10"/>
          <w:lang w:val="es-BO"/>
        </w:rPr>
      </w:pPr>
    </w:p>
    <w:tbl>
      <w:tblPr>
        <w:tblW w:w="10065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9F0CC8" w:rsidRPr="00A40276" w:rsidTr="00A55041">
        <w:trPr>
          <w:trHeight w:val="2070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F0CC8" w:rsidRPr="000F4811" w:rsidRDefault="009F0CC8" w:rsidP="00A55041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F0CC8" w:rsidRPr="000F4811" w:rsidRDefault="009F0CC8" w:rsidP="009F0CC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9F0CC8" w:rsidRPr="000F4811" w:rsidRDefault="009F0CC8" w:rsidP="009F0CC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9F0CC8" w:rsidRPr="000F4811" w:rsidRDefault="009F0CC8" w:rsidP="009F0CC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F0CC8" w:rsidRPr="000F4811" w:rsidRDefault="009F0CC8" w:rsidP="00A55041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9F0CC8" w:rsidRPr="000F4811" w:rsidRDefault="009F0CC8" w:rsidP="009F0CC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F0CC8" w:rsidRPr="000F4811" w:rsidRDefault="009F0CC8" w:rsidP="009F0CC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9F0CC8" w:rsidRPr="000F4811" w:rsidRDefault="009F0CC8" w:rsidP="00A55041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9F0CC8" w:rsidRPr="00023739" w:rsidRDefault="009F0CC8" w:rsidP="009F0CC8">
      <w:pPr>
        <w:rPr>
          <w:sz w:val="6"/>
          <w:lang w:val="es-BO"/>
        </w:rPr>
      </w:pPr>
    </w:p>
    <w:p w:rsidR="009F0CC8" w:rsidRPr="004B26AD" w:rsidRDefault="009F0CC8" w:rsidP="009F0CC8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F0CC8" w:rsidRPr="00023739" w:rsidRDefault="009F0CC8" w:rsidP="009F0CC8">
      <w:pPr>
        <w:rPr>
          <w:rFonts w:cs="Arial"/>
          <w:sz w:val="10"/>
          <w:szCs w:val="18"/>
        </w:rPr>
      </w:pPr>
    </w:p>
    <w:tbl>
      <w:tblPr>
        <w:tblW w:w="5561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"/>
        <w:gridCol w:w="3115"/>
        <w:gridCol w:w="299"/>
        <w:gridCol w:w="68"/>
        <w:gridCol w:w="133"/>
        <w:gridCol w:w="140"/>
        <w:gridCol w:w="125"/>
        <w:gridCol w:w="140"/>
        <w:gridCol w:w="380"/>
        <w:gridCol w:w="140"/>
        <w:gridCol w:w="555"/>
        <w:gridCol w:w="150"/>
        <w:gridCol w:w="138"/>
        <w:gridCol w:w="329"/>
        <w:gridCol w:w="140"/>
        <w:gridCol w:w="322"/>
        <w:gridCol w:w="140"/>
        <w:gridCol w:w="144"/>
        <w:gridCol w:w="3358"/>
        <w:gridCol w:w="156"/>
      </w:tblGrid>
      <w:tr w:rsidR="009F0CC8" w:rsidRPr="000C6821" w:rsidTr="00A55041">
        <w:trPr>
          <w:trHeight w:val="284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F0CC8" w:rsidRPr="000C6821" w:rsidTr="00A55041">
        <w:trPr>
          <w:trHeight w:val="123"/>
        </w:trPr>
        <w:tc>
          <w:tcPr>
            <w:tcW w:w="166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37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F0CC8" w:rsidRPr="000C6821" w:rsidTr="00A55041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4E1F06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4E1F06" w:rsidTr="00A55041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4E1F06" w:rsidTr="00A55041">
        <w:trPr>
          <w:trHeight w:val="64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4E1F06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E40E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E40E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E40E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4E1F06" w:rsidTr="00A55041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4E1F06" w:rsidTr="00A55041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4E1F06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D62FA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D62FA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D62FA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D62FA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D62FA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DD62FA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D62FA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26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CE40E3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360EC0" w:rsidRDefault="009F0CC8" w:rsidP="00A55041">
            <w:pPr>
              <w:rPr>
                <w:rFonts w:ascii="Arial" w:hAnsi="Arial" w:cs="Arial"/>
                <w:sz w:val="12"/>
                <w:szCs w:val="12"/>
              </w:rPr>
            </w:pPr>
            <w:r w:rsidRPr="002A1145">
              <w:rPr>
                <w:rFonts w:ascii="Arial" w:hAnsi="Arial" w:cs="Arial"/>
                <w:sz w:val="12"/>
                <w:szCs w:val="12"/>
              </w:rPr>
              <w:t xml:space="preserve">Piso 7 (Dpto. de Compras y Contrataciones), edificio principal del BCB – Calle Ayacucho esq. Mercado, La Paz – </w:t>
            </w:r>
            <w:r w:rsidRPr="00360EC0">
              <w:rPr>
                <w:rFonts w:ascii="Arial" w:hAnsi="Arial" w:cs="Arial"/>
                <w:sz w:val="12"/>
                <w:szCs w:val="12"/>
              </w:rPr>
              <w:t>Bolivia o conectarse al siguiente enlace a través de zoom:</w:t>
            </w:r>
          </w:p>
          <w:p w:rsidR="009F0CC8" w:rsidRPr="002542D2" w:rsidRDefault="009F0CC8" w:rsidP="00A55041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hyperlink r:id="rId9" w:history="1">
              <w:r w:rsidRPr="002542D2">
                <w:rPr>
                  <w:rStyle w:val="Hipervnculo"/>
                  <w:rFonts w:ascii="Arial" w:hAnsi="Arial" w:cs="Arial"/>
                  <w:sz w:val="12"/>
                </w:rPr>
                <w:t>https://bcb-gob-bo.zoom.us/j/88281374367?pwd=eVhsR3hKdkg4NTEvN1NIeFZ5dXNwZz09</w:t>
              </w:r>
            </w:hyperlink>
          </w:p>
          <w:p w:rsidR="009F0CC8" w:rsidRPr="002542D2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</w:rPr>
            </w:pPr>
          </w:p>
          <w:p w:rsidR="009F0CC8" w:rsidRPr="002542D2" w:rsidRDefault="009F0CC8" w:rsidP="00A55041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2542D2">
              <w:rPr>
                <w:rFonts w:ascii="Arial" w:hAnsi="Arial" w:cs="Arial"/>
                <w:sz w:val="12"/>
              </w:rPr>
              <w:t>ID de reunión: 882 8137 4367</w:t>
            </w:r>
          </w:p>
          <w:p w:rsidR="009F0CC8" w:rsidRPr="00CE40E3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  <w:r w:rsidRPr="002542D2">
              <w:rPr>
                <w:rFonts w:ascii="Arial" w:hAnsi="Arial" w:cs="Arial"/>
                <w:sz w:val="12"/>
              </w:rPr>
              <w:t>Código de acceso: 671929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65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1E566C" w:rsidRDefault="009F0CC8" w:rsidP="009F0CC8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1E566C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F0CC8" w:rsidRDefault="009F0CC8" w:rsidP="00A5504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9F0CC8" w:rsidRDefault="009F0CC8" w:rsidP="00A55041">
            <w:pPr>
              <w:pStyle w:val="Textoindependiente3"/>
              <w:spacing w:after="0"/>
              <w:ind w:left="211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En caso de presentación de la Garantía de Seriedad de Propuesta en forma física:</w:t>
            </w:r>
          </w:p>
          <w:p w:rsidR="009F0CC8" w:rsidRPr="001E566C" w:rsidRDefault="009F0CC8" w:rsidP="00A5504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2"/>
                <w:szCs w:val="12"/>
              </w:rPr>
              <w:t>Ventanilla Única de Correspondencia – PB del Edificio del BCB, ubicado en el Calle Ayacucho esq. Mercado, La Paz- Bolivia.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0CC8" w:rsidRPr="002F238F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E566C"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1171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E566C">
              <w:rPr>
                <w:rFonts w:ascii="Arial" w:hAnsi="Arial" w:cs="Arial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1E566C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Default="009F0CC8" w:rsidP="00A55041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</w:p>
          <w:p w:rsidR="009F0CC8" w:rsidRPr="002542D2" w:rsidRDefault="009F0CC8" w:rsidP="00A55041">
            <w:pPr>
              <w:widowControl w:val="0"/>
              <w:jc w:val="both"/>
              <w:rPr>
                <w:rFonts w:ascii="Arial" w:hAnsi="Arial" w:cs="Arial"/>
                <w:sz w:val="12"/>
              </w:rPr>
            </w:pPr>
            <w:hyperlink r:id="rId10" w:history="1">
              <w:r w:rsidRPr="002542D2">
                <w:rPr>
                  <w:rStyle w:val="Hipervnculo"/>
                  <w:rFonts w:ascii="Arial" w:hAnsi="Arial" w:cs="Arial"/>
                  <w:sz w:val="12"/>
                </w:rPr>
                <w:t>https://bcb-gob-bo.zoom.us/j/89665912720?pwd=MGFDaGg1eXlYaTZCbk9vNSttMUdCZz09</w:t>
              </w:r>
            </w:hyperlink>
          </w:p>
          <w:p w:rsidR="009F0CC8" w:rsidRPr="002542D2" w:rsidRDefault="009F0CC8" w:rsidP="00A55041">
            <w:pPr>
              <w:widowControl w:val="0"/>
              <w:jc w:val="both"/>
              <w:rPr>
                <w:rFonts w:ascii="Arial" w:hAnsi="Arial" w:cs="Arial"/>
                <w:sz w:val="2"/>
              </w:rPr>
            </w:pPr>
          </w:p>
          <w:p w:rsidR="009F0CC8" w:rsidRPr="002542D2" w:rsidRDefault="009F0CC8" w:rsidP="00A55041">
            <w:pPr>
              <w:widowControl w:val="0"/>
              <w:jc w:val="both"/>
              <w:rPr>
                <w:rFonts w:ascii="Arial" w:hAnsi="Arial" w:cs="Arial"/>
                <w:sz w:val="12"/>
              </w:rPr>
            </w:pPr>
            <w:r w:rsidRPr="002542D2">
              <w:rPr>
                <w:rFonts w:ascii="Arial" w:hAnsi="Arial" w:cs="Arial"/>
                <w:sz w:val="12"/>
              </w:rPr>
              <w:t>ID de reunión: 896 6591 2720</w:t>
            </w:r>
          </w:p>
          <w:p w:rsidR="009F0CC8" w:rsidRPr="001E566C" w:rsidRDefault="009F0CC8" w:rsidP="00A55041">
            <w:pPr>
              <w:widowControl w:val="0"/>
              <w:jc w:val="both"/>
              <w:rPr>
                <w:rFonts w:ascii="Arial" w:hAnsi="Arial" w:cs="Arial"/>
              </w:rPr>
            </w:pPr>
            <w:r w:rsidRPr="002542D2">
              <w:rPr>
                <w:rFonts w:ascii="Arial" w:hAnsi="Arial" w:cs="Arial"/>
                <w:sz w:val="12"/>
              </w:rPr>
              <w:t>Código de acceso: 609370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53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0C6821" w:rsidTr="00A55041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CC8" w:rsidRPr="002542D2" w:rsidRDefault="009F0CC8" w:rsidP="00A550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542D2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173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0CC8" w:rsidRPr="000C6821" w:rsidTr="00A55041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1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0CC8" w:rsidRPr="000C6821" w:rsidRDefault="009F0CC8" w:rsidP="00A5504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5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F0CC8" w:rsidRPr="000C6821" w:rsidRDefault="009F0CC8" w:rsidP="00A550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F0CC8" w:rsidRPr="000F4811" w:rsidRDefault="009F0CC8" w:rsidP="009F0CC8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1E3380" w:rsidRDefault="001E3380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  <w:bookmarkStart w:id="1" w:name="_GoBack"/>
      <w:bookmarkEnd w:id="1"/>
    </w:p>
    <w:sectPr w:rsidR="001E3380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9F0CC8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9665912720?pwd=MGFDaGg1eXlYaTZCbk9vNSttMUdC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8281374367?pwd=eVhsR3hKdkg4NTEvN1NIeFZ5dXNwZ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1299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8433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9</cp:revision>
  <cp:lastPrinted>2016-11-23T23:13:00Z</cp:lastPrinted>
  <dcterms:created xsi:type="dcterms:W3CDTF">2023-03-15T20:45:00Z</dcterms:created>
  <dcterms:modified xsi:type="dcterms:W3CDTF">2023-11-23T23:58:00Z</dcterms:modified>
</cp:coreProperties>
</file>